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E-4098/2014 vom 5. September 2014</w:t>
      </w:r>
    </w:p>
    <w:p>
      <w:r>
        <w:t>Bundesverwaltungsgericht, 2014-09-05, DE</w:t>
      </w:r>
    </w:p>
    <w:p>
      <w:r>
        <w:rPr>
          <w:b/>
        </w:rPr>
        <w:t xml:space="preserve">Quelle: </w:t>
      </w:r>
      <w:r>
        <w:t>https://mcp.opencaselaw.ch/entscheid/bvger_E-4098_2014</w:t>
      </w:r>
    </w:p>
    <w:p>
      <w:r>
        <w:t>FR: TAF E-4098/2014 du 5 septembre 2014</w:t>
      </w:r>
    </w:p>
    <w:p>
      <w:r>
        <w:t>IT: TAF E-4098/2014 del 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Beschwerdeführenden führten zur Begründung ihrer Beschwerde aus, sie würden an den im ersten Asylverfahren vorgebrachten Fluchtgründen festhalten. Erst nach Abschluss dieses Verfahrens hätten sie Nachforschungen zu ihrer Situation im Falle einer Rückkehr nach Kirgisistan eingeleitet und hätten aufgrund der neu beschafften Dokumente Kenntnis von dem im Februar 2011 gegen sie eingeleiteten Verfahren erhalten. Es liege auf der Hand, dass bei den Geschäften von C._______, an denen sie zum Teil beteiligt gewesen seien, Korruption im Spiel gewesen sei, und sie würden davon ausgehen, dass ihre Geschäfte mit C._______ dessen Hintermännern missfallen hätten. Sichere Kenntnisse und Beweismittel für diese Annahmen hätten sie nicht und könnten keine weiteren diesbezüglichen Dokumente beschaffen. Dass sie die Anzahl der Geschäfte mit C._______ nicht genau beziffern könnten, spreche nicht gegen die Glaubhaftigkeit dieses Vorbringens. Auch für die Frage, ob und seit wann die kirgisischen Behörden nach C._______ fahnden würden, könnten sie keine Beweise beschaffen, da der Kontakt zu diesem abgebrochen sei. Es werde beantragt, dass diesbezüglich Botschaftsabklärungen durchzuführen seien. Gemäss verschiedenen Lageberichten zu Kirgisistan sei die dortige Justiz nicht nur mit geringen Mängeln behaftet. Entgegen der Auffassung des BFM sei nicht zwingend, dass sie von den Behörden weitere Dokumente betreffend die gegen sie eingeleiteten Gerichtsverfahren hätten erhalten sollen. Zudem seien im Revisionsverfahren mehrere Dokumente von kirgisischen Miliz- und Justizbehörden eingereicht worden, welche bisher nicht als gefälscht oder unecht erachtet worden seien. Das Gericht habe sich im Revisionsverfahren nicht zum Beweiswert dieser Beweismittel geäussert, sondern sie nur als verspätet bezeichnet. Sie wüssten nicht, seit wann nach ihnen gefahndet werde; es müsse aber schon seit längerer Zeit sein, da die Fahndung sonst nicht im Internet publiziert worden wäre. Der Zeitpunkt der Publikation entspreche nicht demjenigen der Einleitung der Fahndung. Es sei nicht geltend gemacht worden, dass Angehörige der usbekischen Minderheit in Kirgisistan kollektiv verfolgt würden; allerdings werde ihr Verfolgungsrisiko durch ihre ethnische Zugehörigkeit verschärft. Warum ihre Mutter erst im Februar 2014 behelligt worden sei, könnten sie selber nicht nachvollziehen. Dass die Personen, welche ihre Mutter überfallen hätten, auch Wert­gegenstände gestohlen hätten, deute auf eine Bereicherungsabsicht und damit auf Korruption hin. Die Eltern seien seither ausgereist und würden jetzt in einem Nachbarstaat von Kirgisistan leben. Anderen Verwandten im Heimatstaat könnten sie nicht zumuten, sich zur Abklärung der Umstände des gegen sie (...) der Gefahr willkürlicher Massnahmen durch die Behörden auszusetzen. Sie hätten demnach alle ihre Möglichkeiten zur Beschaffung von zusätzlichen Dokumenten ausgeschöpft und seien ihrer Mitwirkungspflicht nachgekommen. Wäre die Eintragung (...) mittels Bestechung erkauft worden, hätten sie auf diesem Weg auch weitere Dokumente zum (...) gegen sie beschaffen können. Die Unterlagen betreffend die Beziehungen zu D._______ und C._______ hätten einen valablen Beweiswert als indirekte Belege für ihre Asylvorbringen. Das BFM habe ihre Verfolgungssituation verkannt und sich nicht dazu geäussert, dass sie einen unfairen Prozess durch eine willkürliche Justiz, welche unerlaubte Gewalt und fabrizierte Beweismittel anwende, zu gewärtigen hätten, und dass sie mit einem Politmalus belastet wären. Aufgrund eines erhöhten und konkreten Risikos von Misshandlung und Folter sei allenfalls der Vollzug der Wegweisung wegen einer Drohenden Verletzung von Art. 3 des Übereinkommens vom 10. Dezem­ber 1984 gegen Folter und andere grausame, unmenschliche oder erniedrigende Behandlung oder Strafe (FoK, SR 0.105) und Art. 3 EMRK als unzulässig zu erachten. Ferner sei die Unzumutbarkeit des Wegweisungsvollzugs festzustellen, da sie diesfalls in ihrer körperlichen und psychischen Integrität gefährdet wären.</w:t>
      </w:r>
    </w:p>
    <w:p>
      <w:r>
        <w:rPr>
          <w:b/>
        </w:rPr>
        <w:t>E. 6.1</w:t>
      </w:r>
    </w:p>
    <w:p>
      <w:r>
        <w:t>Vorab ist festzuhalten, dass die Vorbringen der Beschwerdeführenden im Rahmen des ersten Asylverfahrens als im Wesentlichen unglaubhaft qualifiziert werden mussten (vgl. Urteil BVGer E-3464/2011 und E-3466/2011 vom 14. November 2013 E. 5) und dass auch die für ihre späteren Revisionsverfahren zuständige Instruktionsrichterin die Vorbringen der damaligen Gesuchstellenden zum Erhalt der neuen Beweismittel, als offenkundig unglaubhaft bezeichnete (vgl. Instruktionsverfügung E-741/2014 und E-742/2014 vom 24. März 2014 S. 3 f.).</w:t>
      </w:r>
    </w:p>
    <w:p>
      <w:r>
        <w:rPr>
          <w:b/>
        </w:rPr>
        <w:t>E. 6.2</w:t>
      </w:r>
    </w:p>
    <w:p>
      <w:r>
        <w:t>Das Gericht teilt die Einschätzung der Vorinstanz, dass sich auch den Vorbringen der Beschwerdeführenden im vorliegenden zweiten Asylverfahren keine glaubhaften Hinweise auf eine begründete Furcht vor Verfolgung im Sinne von Art. 3 AsylG entnehmen lassen. Zunächst ergeben sich aus den Akten keine stichhaltigen Anhaltspunkte für ein asylrechtlich relevantes Motiv für den vorgebrachten gewaltsamen Übergriff auf die Mutter der Beschwerdeführenden 1 und 5. Die eingereichte ärztliche Bestätigung vermag nur die von dieser erlittenen Verletzungen, nicht aber den behaupteten Hintergrund zu belegen. Demnach besteht kein Anlass, aus diesem Vorfall auf eine asylrelevante Gefährdung der Beschwerdeführenden zu schliessen. Da die Beschwerdeführenden in ihrer Beschwerdeeingabe selber betonen, die kirgisischen Behörden würden wahrscheinlich schon seit längerer Zeit nach den Beschwerdeführenden 1 und 5 (...), erscheint fraglich, ob dieses Vorbringen Gegenstand des vorliegenden zweiten Asylverfahrens sein kann, in welchem nur Sachverhaltselemente zu prüfen sind, welche nach Abschluss des ersten Asylverfahrens eingetreten sind. Im Umstand, dass die Publikation der (...) im Internet beziehungsweise die Erneuerung (...) möglicherweise erst nach Abschluss des ersten Asylverfahrens erfolgt ist, kann kein asylrechtlich relevantes neues Sachverhaltselement erblickt werden. Der Vollständigkeit halber ist darauf hinzuweisen, dass sich weder den Ausführungen der Beschwerdeführenden noch den im Revisionsverfahren eingereichten Gerichtsdokumenten stichhaltige Hinweise auf ein Verfolgungsmotiv der kirgisischen Behörden im Sinne von Art. 3 AsylG oder einen von den Beschwerdeführenden zu erwartenden Politmalus entnehmen lassen. Auch das Argument, das gegen sie eingeleitete (...) beruhe auf falschen Anschuldigungen beziehungsweise fabrizierten Beweismitteln ist eine nicht weiter belegte blosse Behauptung. Aus der Zugehörigkeit der Beschwerdeführenden zur usbekischen Minderheit kann nicht per se auf eine ihnen drohende asylrechtlich relevante Diskriminierung durch die kirgisischen Justizbehörden in dem gegen sie eingeleiteten (...) geschlossen werden. Bei ihren Ausführungen zum angeblichen Hintergrund dieser (...) - insbesondere bei dem von ihnen vermuteten Zusammenhang mit ihren (geschäftlichen) Beziehungen zu C._______ und D._______ und deren Problemen mit den kirgisischen und russischen Behörden - handelt es sich um reine Mut­massungen, die in keiner Weise substanziiert oder mit stichhaltigen Beweismitteln belegt wurden. Der Antrag auf Durchführung einer Botschaftsabklärung betreffend die behauptete (... ) gegen C._______ ist schon deshalb abzuweisen, weil nicht ersichtlich ist, inwiefern hieraus auf eine asylrechtlich relevante Verfolgung der Beschwerdeführenden zu schliessen wäre. Die von den Beschwerdeführenden in den zweiten Asylverfahren eingereichten Beweismittel vermögen allenfalls gewisse Teilelemente ihrer Vorbringen zu stützen, sind aber nicht geeignet, die behauptete asylrechtlich relevante Verfolgung durch die kirgisischen Behörden zu belegen.</w:t>
      </w:r>
    </w:p>
    <w:p>
      <w:r>
        <w:rPr>
          <w:b/>
        </w:rPr>
        <w:t>E. 6.3</w:t>
      </w:r>
    </w:p>
    <w:p>
      <w:r>
        <w:t>Zusammenfassend ist festzuhalten, dass es den Beschwerde­füh­renden erneut nicht gelungen ist, eine im Sinne von Art. 3 AsylG relevante Verfolgungsgefahr nachzu­weisen oder glaubhaft darzutun. Die Vorinstanz hat ihre Asylgesuche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Herkunftsstaat ist demnach unter dem Aspekt von Art. 5 AsylG rechtmässig. Sodann ergeben sich weder aus den Aussagen der Beschwerdeführen­den noch aus den Akten glaubhafte Anhaltspunkte dafür, dass sie für den Fall einer Ausschaffung in den Herkunftsstaat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Kirgisistan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Kirgisistan noch individuelle Gründe lassen auf eine konkrete Gefährdung der Beschwerdeführenden im Falle einer Rückkehr schliessen. Insbesondere handelt es sich bei der geltend gemachten Gefährdung ihrer körperlichen und psychischen Integrität um eine nicht weiter substanziierte und damit nicht glaubhaft gemachte Behauptung. Nach dem Gesagten erweist sich der Vollzug der Wegweisung auch nach wie vor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der vereinigten Verfahren sind die Kosten den Beschwer­deführenden aufzuerlegen (Art. 63 Abs. 1 VwVG) und auf insgesamt Fr. 800.- festzusetzen (Art. 1-3 des Reglements vom 21. Februar 2008 über die Kosten und Entschädigungen vor dem Bundesverwaltungsgericht [VGKE, SR 173.320.2]). Der in gleicher Höhe geleistete Kostenvorschuss wird zur Bezahlung der Verfahrenskosten verwendet, die damit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