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E-4097/2023 vom 19. Juni 2023</w:t>
      </w:r>
    </w:p>
    <w:p>
      <w:r>
        <w:t>Bundesverwaltungsgericht, 2023-06-19, FR</w:t>
      </w:r>
    </w:p>
    <w:p>
      <w:r>
        <w:rPr>
          <w:b/>
        </w:rPr>
        <w:t xml:space="preserve">Quelle: </w:t>
      </w:r>
      <w:r>
        <w:t>https://mcp.opencaselaw.ch/entscheid/bvger_E-4097_2023_d20230619</w:t>
      </w:r>
    </w:p>
    <w:p>
      <w:r>
        <w:t>FR: TAF E-4097/2023 du 19 juin 2023</w:t>
      </w:r>
    </w:p>
    <w:p>
      <w:r>
        <w:t>IT: TAF E-4097/2023 del 19 giugno 2023</w:t>
      </w:r>
    </w:p>
    <w:p>
      <w:pPr>
        <w:pStyle w:val="Heading2"/>
      </w:pPr>
      <w:r>
        <w:t>Regeste</w:t>
      </w:r>
    </w:p>
    <w:p>
      <w:r>
        <w:t>Asile (non-entr&amp;eacute;e en mati&amp;egrave;re) et renvoi (r&amp;eacute;examen) | Asile (non-entrée en matière) et renvoi (réexamen); décision du SEM du 19 juin 2023</w:t>
      </w:r>
    </w:p>
    <w:p>
      <w:pPr>
        <w:pStyle w:val="Heading2"/>
      </w:pPr>
      <w:r>
        <w:t>Erwägungen</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(JO L 180/31 du 29.6.2013, ci-après: RD III) lorsque l’administré, par son comportement, compromet l'exécution de son transfert par l'Etat concerné, malgré le respect par cet Etat de son devoir</w:t>
      </w:r>
    </w:p>
    <w:p>
      <w:r>
        <w:t>E-4097/2023 Page 5 de diligence (sur le sens et le but de la réglementation prévue à l'art. 29 par. 2 RD III, cf. ATAF 2010/27 consid. 7.2.2 et 7.2.3, ainsi que l'arrêt du Tribunal F-485/2021 du 26 mars 2021 consid. 5.1.1), que la fuite est réalisée dans l’hypothèse d’une soustraction intentionnelle à l’exécution du transfert (cf. ATAF 2010/27 consid. 7.2.3), mais aussi dans tous les autres cas où, par une action ou une inaction (laquelle peut être unique) intentionnelle ou relevant de la négligence grave, l’intéressé entrave les démarches de l'autorité chargée de la mise en œuvre de son transfert et l’empêche ainsi de mener à bien la procédure de transfert (cf. arrêt du Tribunal E-4043/2016 du 1er mars 2017 consid. 2.3.3, jurisprudence confirmée notamment par les arrêts du Tribunal D-5924/2022 du 26 janvier 2023, p. 7 et F-485/2021 précité consid. 5.1.2 et réf. cit.), qu’en l’occurrence, le recourant conteste avoir reçu la convocation du (…) du 13 février 2023 précitée et affirme avoir toujours collaboré avec les autorités, que devant le Tribunal, il ne fournit toutefois pas la moindre explication permettant de justifier pour quelle raison il n’aurait pas eu connaissance de ce document qui, au vu du dossier semble pourtant lui avoir été adressé dans le foyer à C._______ dans lequel il réside encore aujourd’hui, qu’en outre, il ne saurait, de bonne foi, se prévaloir d’avoir toujours collaboré avec les autorités suisses, que dans son arrêt du 13 janvier 2023, le Tribunal a en effet déjà eu l’occasion de constater que l’intéressé avait violé son devoir de collaboration en ne se présentant pas à l’audition du 27 décembre 2023 à laquelle il avait été dûment convoqué par le SEM, que dans ces circonstances et en l’état du dossier, le SEM pouvait valablement considérer qu’a priori, le comportement de A._______ réalisait l’hypothèse d’une fuite au sens de l’art. 29 par. 2 2e phrase RD III, que, dans la mesure où la prolongation du délai de transfert était apparemment justifiée dans le cas particulier, l’autorité précitée a estimé à bon droit que les conclusions de la demande de réexamen du 3 juillet 2023 s’avéraient, de prime abord, d’emblée vouées à l’échec,</w:t>
      </w:r>
    </w:p>
    <w:p>
      <w:r>
        <w:t>E-4097/2023 Page 6 qu’en outre, l’intéressé n’a pas fait valoir, ni a fortiori rendu vraisemblable, un risque de mise en danger concret dans l’hypothèse de son transfert en Autriche (art. 111b al. 3 LAsi), que, par conséquent, la décision incidente, en tant qu’elle rejette la demande implicite de suspension de l’exécution du transfert, doit être confirmée et le recours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l’une au moins des conditions cumulatives de l’art. 65 al. 1 et 2 PA n’étant pas satisfaite, la demande d’exonération des frais de procédure jointe au recours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E-4097/2023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