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E-4097/2020 vom 24. Mai 2024</w:t>
      </w:r>
    </w:p>
    <w:p>
      <w:r>
        <w:t>Bundesverwaltungsgericht, 2024-05-24, DE</w:t>
      </w:r>
    </w:p>
    <w:p>
      <w:r>
        <w:rPr>
          <w:b/>
        </w:rPr>
        <w:t xml:space="preserve">Quelle: </w:t>
      </w:r>
      <w:r>
        <w:t>https://mcp.opencaselaw.ch/entscheid/bvger_E-4097_2020</w:t>
      </w:r>
    </w:p>
    <w:p>
      <w:r>
        <w:t>FR: TAF E-4097/2020 du 24 mai 2024</w:t>
      </w:r>
    </w:p>
    <w:p>
      <w:r>
        <w:t>IT: TAF E-4097/2020 del 24 maggio 2024</w:t>
      </w:r>
    </w:p>
    <w:p>
      <w:pPr>
        <w:pStyle w:val="Heading2"/>
      </w:pPr>
      <w:r>
        <w:t>Regeste</w:t>
      </w:r>
    </w:p>
    <w:p>
      <w:r>
        <w:t>Asyl und Wegweisung (Mehrfachgesuch)</w:t>
      </w:r>
    </w:p>
    <w:p>
      <w:pPr>
        <w:pStyle w:val="Heading2"/>
      </w:pPr>
      <w:r>
        <w:t>Erwägungen</w:t>
      </w:r>
    </w:p>
    <w:p>
      <w:r>
        <w:rPr>
          <w:b/>
        </w:rPr>
        <w:t>E. 1.1</w:t>
      </w:r>
    </w:p>
    <w:p>
      <w:r>
        <w:t>Am 1. März 2019 ist die Teilrevision des Asylgesetzes (SR 142.31) in Kraft getreten (AS 2016 3101). Für das vorliegende Verfahren gilt das bis- 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 deführer ist als Verfügungsadressat zur Beschwerdeführung legitimiert (Art. 48 VwVG). Auf die frist- und formgerecht eingereichte Beschwerde (aArt. 108 Abs. 1 AsylG und Art. 52 Abs. 1 VwVG) ist einzutreten.</w:t>
      </w:r>
    </w:p>
    <w:p>
      <w:r>
        <w:t>E-4097/2020 Seite 6</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Im Zusammenhang mit dem Auskunftsersuchen über den Spruchkörper ist festzuhalten, dass dem Beschwerdeführer die Zusammensetzung mit Zwi- schenverfügung vom 1. September 2020 unter Vorbehalt allfälliger Wech- sel mitgeteilt wurde. Betreffend den Antrag, es seien ihm auch die Modali- täten der Spruchkörperbildung bekannt zu geben, kann mitgeteilt werden, dass eine Neubesetzung des Spruchkörpers infolge des Wechsels von Richterin Mia Fuchs in eine andere Abteilung des Gerichts mittels manuel- ler Anpassung aufgrund von objektiven und im Voraus bestimmten Krite- rien vorgenommen wurde (vgl. Art. 31 ff. VGR [SR 173.320.1]). Als objek- tive Kriterien in diesem Sinne gelten Amtssprache, Beschäftigungsgrad, Belastung durch die Mitarbeit in Gerichtsgremien, Vorbefassung, Kammer- zuständigkeit, Austritt, Erweiterung des Spruchkörpers, Ausstand, enger Sachzusammenhang, Abwesenheit sowie Ausgleich der Belastungssitua- tion. Sofern die Auskunftsbegehren über diese Informationen hinausge- hen, sind die Anträge auf Auskunft abzuweisen (zur entsprechenden Aus- kunftspraxis des Gerichts vgl. BVGE 2022 I/2).</w:t>
      </w:r>
    </w:p>
    <w:p>
      <w:r>
        <w:rPr>
          <w:b/>
        </w:rPr>
        <w:t>E. 5</w:t>
      </w:r>
    </w:p>
    <w:p>
      <w:r>
        <w:t>Die Vorinstanz hält in der angefochtenen Verfügung fest, die geltend ge- machten behördlichen Behelligungen seien bereits Gegenstand vorange- gangener Verfahren gewesen und als nicht glaubhaft qualifiziert worden. Zudem vermöchten die weiteren Ausführungen des Beschwerdeführers zur Meldepflicht, welcher er in den Jahren von 20(…) bis 20(…) während sei- nes Aufenthaltes in der Zentralprovinz unterstellt worden sei, keine flücht- lingsrechtliche Relevanz zu entfalten, und die davor liegenden Ereignisse seien nicht kausal für die Ausreise gewesen. Aufgrund der vom Beschwerdeführer dargelegten exilpolitischen Tätigkeit sei ferner nicht anzunehmen, dass er deshalb in den Fokus der heimatli- chen Behörden geraten sein könnte, zumal er das Engagement – was na- mentlich aus den eingereichten Beweismitteln hervorgehe – stets als einer von vielen beziehungsweise nicht in einer exponierten Weise ausgeübt habe. Was die eingereichten Beweismittel betreffe, welche nachweisen sollen, dass ein Strafverfahren gegen ihn eröffnet worden sei, habe die amtsinterne Untersuchung ergeben, dass es sich um Fälschungen handle.</w:t>
      </w:r>
    </w:p>
    <w:p>
      <w:r>
        <w:t>E-4097/2020 Seite 7 Die angebliche Verfolgung durch paramilitärische Gruppierungen aufgrund seines exilpolitischen Engagements sei ferner inhaltlich nur ungenügend substantiiert. Bezüglich des Vorbringens, der Vater sei um Geld erpresst worden, sei kein Zusammenhang zum Beschwerdeführer erkennbar und wäre angesichts der kriminellen Motivation flüchtlingsrechtlich ohnehin nicht relevant. Ferner seien keine relevanten Risikofaktoren für den Fall der Rückkehr ins Heimatland auszumachen. Weder aufgrund seiner eige- nen Kontakte zur LTTE, insbesondere des zweiwöchigen Trainings, noch der geschilderten Hilfstätigkeiten der Angehörigen für die LTTE, sei davon auszugehen, er stünde bei einer Rückkehr im Fokus der Behörden. Daran vermöchten auch die jüngeren politischen Veränderungen in Sri Lanka nichts zu ändern beziehungsweise habe der Beschwerdeführer nicht über- zeugend darlegen können, weshalb daraus eine konkrete Gefährdung für ihn resultieren könnte. Auch aus den Asyldossiers seiner Angehörigen be- ziehungsweise dem Umstand, dass diese sich zum Teil in europäischen Ländern aufhalten würden, ergebe sich keine erkennbare, auf ihn gerich- tete Gefährdung.</w:t>
      </w:r>
    </w:p>
    <w:p>
      <w:r>
        <w:rPr>
          <w:b/>
        </w:rPr>
        <w:t>E. 6</w:t>
      </w:r>
    </w:p>
    <w:p>
      <w:r>
        <w:t>In der Rechtsmitteleingabe macht der Beschwerdeführer im Wesentlich geltend, die Rechtspraxis zu Sri Lanka habe sich seit dem Urteil des Bun- desverwaltungsgerichts E-4660/2010 vom 13. Dezember 2011 verändert, wobei namentlich der im Jahre 2013 behördlich angeordnete allgemeine Vollzugsstopp sowie die Prüfung gemäss Risikofaktoren zu erwähnen sei. Insofern könne es nicht zulässig sein, dass die Vorinstanz zur Begründung ihres Entscheides auf das erwähnte Urteil verweise und gleichzeitig fest- halte, ein Grossteil der Vorbringen des Beschwerdeführers sei bereits rechtskräftig beurteilt worden. Des Weiteren unterlasse es die Vorinstanz damit auch, den wesentlichen Sachverhalt in seiner Gesamtheit zu würdi- gen und verletze dadurch den Anspruch auf Gewährung des rechtlichen Gehörs, insbesondere die Begründungspflicht als dessen Teilgehalt. Schliesslich habe die Vorinstanz auch die Verbindungen der Familie zur LTTE beziehungsweise die Verfolgung seiner Familie sowie die aktuelle Lage in Sri Lanka unzureichend gewürdigt.</w:t>
      </w:r>
    </w:p>
    <w:p>
      <w:r>
        <w:rPr>
          <w:b/>
        </w:rPr>
        <w:t>E. 7.1</w:t>
      </w:r>
    </w:p>
    <w:p>
      <w:r>
        <w:t>Es ist einleitend festzuhalten, dass der Beschwerdeführer im Rahmen des vorliegenden Folgeverfahrens zahlreiche Sachverhaltselemente wie- derholt beziehungsweise nachträglich ergänzt, welche sich vor dem Urteil des Bundesverwaltungsgerichts E-4660/2010 vom 13. Dezember 2011 er- eignetet haben. Diese Vorbringen wären als unechte Noven im Rahmen</w:t>
      </w:r>
    </w:p>
    <w:p>
      <w:r>
        <w:t>E-4097/2020 Seite 8 eines Revisionsgesuchs – unter Einhaltung der einschlägigen formellen Anforderungen – geltend zu machen (vgl. Art. 45 VGG i.V.m. Art. 123 Abs. 2 Bst. a BGG). Daran ändert nichts, dass die Vorinstanz diese Sachver- haltselemente im angefochtenen Entscheid teilweise (wieder) aufgegriffen hat. Der Hinweis auf Entwicklungen in der Asylpraxis (Vollzugsstopp, Risi- kofaktoren) vermag sodann an der gerichtlichen Einschätzung, dass der Beschwerdeführer im Rahmen des ersten Asylverfahrens seine Fluchtvor- bringen bisweilen übersteigert sowie unstimmig dargestellt hat und insge- samt erhebliche Zweifel an seinen Ausführungen bestanden (vgl. a.a.O. E. 6.3), letztendlich nichts zu ändern. Die im Rahmen des Mehrfachgesu- ches geltend gemachten revisionsrechtlichen Vorbringen (insbesondere sämtliche Umstände, welche sich auf den Zeitpunkt vor der Ausreise des Beschwerdeführers beziehen) vermöchten sodann selbst im Falle der Wahrunterstellung nicht in offensichtlicher Weise den Eindruck zu vermit- teln, der Beschwerdeführer wäre in erheblicher Weise gefährdet bezie- hungsweise die bisherige Einschätzung seiner Gefährdung wäre fehler- haft. Dass die Vorinstanz bei der Beurteilung dieser Sachverhaltselemente auf das bereits in Rechtskraft erwachsene Urteil verwies, ist nicht zu bean- standen und die in diesem Zusammenhang gerügten Verletzungen der Verfahrensrechte des Beschwerdeführers erweisen sich als unbegründet, zumal die Vorinstanz unter Ziff. IV 1 der angefochtenen Verfügung auch seine Äusserungen im Rahmen der Anhörung vom 10. Dezember 2018 würdigte.</w:t>
      </w:r>
    </w:p>
    <w:p>
      <w:r>
        <w:rPr>
          <w:b/>
        </w:rPr>
        <w:t>E. 7.2</w:t>
      </w:r>
    </w:p>
    <w:p>
      <w:r>
        <w:t>Was die geltend gemachte exilpolitische Tätigkeit betrifft, hat die Vor- instanz – unter Berücksichtigung der eingereichten Beweismittel – zutref- fend festgestellt, der Beschwerdeführer weise kein Profil auf, welches be- fürchten liesse, er könnte wegen seines Engagements in flüchtlingsrecht- lich relevanter Weise im Heimatland gefährdet sein. Dies auch unter Be- rücksichtigung des langjährigen Aufenthaltes in Europa, zumal keine Vor- fluchtgründe bestehen und er sich auch nicht von der exilpolitisch enga- gierten Masse abhebt (vgl. diesbezüglich das Referenzurteil E-1866/2015 vom 15. Juli 2016 E. 8). Auf Beschwerdeebene wird sein exilpolitisches Engagement sodann nicht weiter dargelegt und es kann auf die zutreffen- den Ausführungen der Vorinstanz in der angefochtenen Verfügung verwie- sen werden. Gleiches gilt für die Ausführungen der Vorinstanz zur geltend gemachten Beziehung des Beschwerdeführers zur LTTE, welcher sie in ihren eingehenden Ausführungen zutreffend als nicht sonderlich eng qua- lifiziert (vgl. SEM-Verfügung S. 9). Auch eine Gefährdung wegen seiner Angehörigen ist nicht genügend erkennbar beziehungsweise substantiiert geltend gemacht. Einerseits verliessen diese das Land teilweise bereits</w:t>
      </w:r>
    </w:p>
    <w:p>
      <w:r>
        <w:t>E-4097/2020 Seite 9 lange vor der Ausreise des Beschwerdeführers, ohne dass – in Ermange- lung bestehender Vorfluchtgründe – dieser deshalb einer Reflexverfolgung ausgesetzt gewesen wäre. Andererseits ist auf Beschwerdeebene unbe- stritten, dass die in der Schweiz lebenden Schwestern nicht als Flüchtlinge anerkannt wurden und kein Asyl erhielten. Dass er wegen seines im Jahre 20(…) ausgereisten und heute in B._______ lebenden Bruders gefährdet sein könnte, ergibt sich nicht aus den Akten und wird vom Beschwerdefüh- rer ebenfalls nicht substantiiert dargelegt. Ergänzend ist festzuhalten, dass er aus dem auf Beschwerdeebene eingereichten Zeitungsartikel, welcher von der Tötung eines Lehrers berichtet, nichts zu seinen Gunsten abzulei- ten vermag. Dieser gibt weder Täterschaft noch Motiv wieder, womit auch kein erkennbarer Gefährdungszusammenhang zum Beschwerdeführer er- sichtlich ist. Der geltend gemachten Erpressung des Vaters wäre selbst im Falle der Wahrunterstellung kein konkreter Konnex zum Beschwerdeführer zu entnehmen und es kann diesbezüglich auf die zutreffenden Ausführun- gen der Vorinstanz verwiesen werden. Soweit er in der Rechtsmittelein- gabe zudem vorbringt, sein Onkel sei ebenfalls erpresst worden, legt er ebenfalls keinen ersichtlichen Zusammenhang zu seiner geltend gemach- ten Gefährdungssituation dar. Bei dieser Ausgangslage ist nicht zu bean- standen, dass sich die Vorinstanz nicht in der vom Beschwerdeführer ge- forderten Tiefe mit der Situation im Heimatland auseinandergesetzt hat. Die diesbezüglichen Rügen der Verletzung der Pflicht zur vollständigen Sachverhaltsabklärung sowie des Anspruchs auf Gewährung des rechtli- chen Gehörs erweisen sich als unbegründet, unter anderem auch deshalb, weil der Beschwerdeführer bisweilen materielle Würdigung und formelle Rügen miteinander vermengt. Sodann hätte es dem Beschwerdeführer of- fen gestanden beziehungsweise lag es angesichts der ihm obliegenden Mitwirkungspflicht an ihm, weitere Beweismittel zur Untermauerung seiner geltend gemachten Gefährdung einzureichen (vgl. Art. 32 Abs. 2 VwVG sowie Art. 8 AsylG). Der Antrag auf Ansetzung einer Frist zur Beibringung weiterer Beweismittel ist demgemäss abzuweisen. Angesichts des Ausgeführten ist auf den Umstand, dass sich die im vor- instanzlichen Verfahren eingereichten Vorladungen, mit welchen der Be- schwerdeführer die behauptete Strafverfolgung zu untermauern versuchte, als Fälschungen herausgestellt haben und dadurch seine persönliche Glaubwürdigkeit in Frage gestellt ist (vgl. Art. 7 Abs. 3 AsylG), nicht mehr vertieft einzugehen.</w:t>
      </w:r>
    </w:p>
    <w:p>
      <w:r>
        <w:rPr>
          <w:b/>
        </w:rPr>
        <w:t>E. 7.3</w:t>
      </w:r>
    </w:p>
    <w:p>
      <w:r>
        <w:t>Im Ergebnis ist festzuhalten, dass der Beschwerdeführer im vorliegen- den durch Mehrfachgesuch eingeleiteten Verfahren keine Umstände dar-</w:t>
      </w:r>
    </w:p>
    <w:p>
      <w:r>
        <w:t>E-4097/2020 Seite 10 zulegen vermag, aufgrund welcher von einer erheblichen Gefahr vor flücht- lingsrechtlich relevanter Verfolgung im Falle der Rückkehr in sein Heimat- land auszugehen wäre. Demgemäss hat die Vorinstanz die Flüchtlingsei- genschaft des Beschwerdeführers zu Recht verneint und das Gesuch ab- gelehnt.</w:t>
      </w:r>
    </w:p>
    <w:p>
      <w:r>
        <w:rPr>
          <w:b/>
        </w:rPr>
        <w:t>E. 8</w:t>
      </w:r>
    </w:p>
    <w:p>
      <w:r>
        <w:t>Lehnt das Staatssekretariat das Asylgesuch beziehungsweise Mehrfach- gesuch ab oder tritt es darauf nicht ein, so verfügt es in der Regel die Weg- weisung aus der Schweiz und ordnet den Vollzug an (Art. 44 AsylG).</w:t>
      </w:r>
    </w:p>
    <w:p>
      <w:r>
        <w:t>Der Beschwerdeführer verfügt weder über eine ausländerrechtliche Aufent- 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w:t>
      </w:r>
    </w:p>
    <w:p>
      <w:r>
        <w:t>E-4097/2020 Seite 11 Die allgemeine Situation in Sri Lanka lässt den Wegweisungsvollzug nicht als unzulässig erscheinen. Auch der Europäische Gerichtshof für Men- schenrechte (EGMR) hat wiederholt festgestellt, dass nicht generell davon auszugehen sei, Rückkehrern drohe in Sri Lanka eine unmenschliche Be- handlung. Eine Risikoeinschätzung müsse im Einzelfall vorgenommen werden (Urteil des EGMR R.J. gegen Frankreich vom 19. September 2013, 10466/11, Ziff. 37). Weder aus den Beschwerdeausführungen noch aus den Akten ergeben sich konkrete Anhaltspunkte dafür, dass der Beschwer- deführer für den Fall einer Ausschaffung nach Sri Lanka dort mit beachtli- cher Wahrscheinlichkeit einer nach EMRK oder FoK verbotenen Strafe oder Behandlung ausgesetzt wäre. So weist er kein Profil auf, das auf die Gefahr hindeutet, zukünftig staatlichen Verfolgungsmassnahmen ausge- setzt zu sein. Es sind auch keine Anhaltspunkte ersichtlich, nach denen der Beschwerdeführer Massnahmen zu befürchten hätte, die – wenn über- haupt – über einen sogenannten background check (Befragung und Über- prüfung von Tätigkeiten im In- und Ausland) hinausgingen oder dass ihm persönlich im Falle einer Rückkehr eine Gefährdung drohen könnte. Der Vollzug der Wegweisung ist zulässig.</w:t>
      </w:r>
    </w:p>
    <w:p>
      <w:r>
        <w:rPr>
          <w:b/>
        </w:rPr>
        <w:t>E. 9.3</w:t>
      </w:r>
    </w:p>
    <w:p>
      <w:r>
        <w:t>Nach Art. 83 Abs. 4 AIG kann der Vollzug für Ausländerinnen und Aus- länder unzumutbar sein, wenn sie im Heimat- oder Herkunftsstaat auf Grund von Situationen wie Krieg, Bürgerkrieg, allgemeiner Gewalt und me- dizinischer Notlage konkret gefährdet sind. Die vom Beschwerdeführer geltend gemachten psychischen Probleme sind durch keine aktuellen Arztberichte belegt. Soweit er beantragt, sein Gesundheitszustand sei von Amtes wegen abzuklären und es sei eventu- aliter Frist zur Einreichung von Arztbericht einzuräumen, ist festzuhalten, dass ihm genügend Zeit zur Verfügung stand, im Rahmen seiner Mitwir- kungspflicht von sich aus entsprechende Unterlagen einzureichen (vgl. Art. 8 AsylG sowie Art. 32 VwVG). Die Anträge sind daher abzuweisen. Er- gänzend ist festzuhalten, dass davon auszugehen ist, der Beschwerdefüh- rer werde auch vor dem Hintergrund der gegenwärtigen Wirtschaftskrise in Sri Lanka und der aktuellen Lage bei der Gesundheitsversorgung mit den ihm zuzumutenden Anstrengung das Notwendige – insbesondere Psycho- pharmaka – erhalten (vgl. dazu eingehend: Urteil des BVGer D-5861/2022 vom 1. März 2023 E. 10.3.4). Abgesehen vom Hinweis auf seine langjährige Landesabwesenheit äus- sert sich der Beschwerdeführer in der Rechtsmitteleingabe nicht zur Zu- mutbarkeit des Wegweisungsvollzugs. Insbesondere macht er nicht</w:t>
      </w:r>
    </w:p>
    <w:p>
      <w:r>
        <w:t>E-4097/2020 Seite 12 geltend, seine persönliche Situation habe sich seit den vorangegangenen Verfahren in wesentlicher Weise geändert, weshalb diesbezüglich auf die Ausführungen in der angefochtenen Verfügung verwiesen werden kann. Demnach ist davon auszugehen, dass sich der heute (…)-jährige Be- schwerdeführer – auch unter Berücksichtigung der langjährigen Landesab- wesenheit und dem Umstand, dass sich Sri Lanka zurzeit in einer Wirt- schaftskrise befindet – mit den gebührenden Anstrengungen sozial und wirtschaftliche wird integrieren können. Dabei kann er auf seine dort leben- den Angehörigen sowie allenfalls auf wirtschaftliche Unterstützung seiner im Ausland lebenden Geschwister zurückgreifen. Daran ändert nichts, das er in den vergangenen Jahren in der Schweiz nicht gearbeitet hat. Der Voll- zug erweist sich somit auch in individueller Hinsicht als zumutbar.</w:t>
      </w:r>
    </w:p>
    <w:p>
      <w:r>
        <w:rPr>
          <w:b/>
        </w:rPr>
        <w:t>E. 10</w:t>
      </w:r>
    </w:p>
    <w:p>
      <w:r>
        <w:t>Schliesslich obliegt es dem Beschwerdeführer, sich bei der zuständigen Vertretung des Heimatstaates die für eine Rückkehr notwendigen Reise- dokumente zu beschaffen (Art. 8 Abs. 4 AsylG; vgl.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Verfahrenskosten dem Be- schwerdeführenden aufzuerlegen (Art. 63 Abs. 1 VwVG) und angesichts des ausserordentlichen Umfanges der Rechtsmitteleingabe auf Fr. 1’500.– festzusetzen (Art. 1–3 des Reglements vom 21. Februar 2008 über die Kosten und Entschädigungen vor dem Bundesverwaltungsgericht [VGKE; SR 173.320.2]). (Dispositiv nächste Seite)</w:t>
      </w:r>
    </w:p>
    <w:p>
      <w:r>
        <w:t>E-4097/2020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