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E-4094/2014 vom 16. November 2015</w:t>
      </w:r>
    </w:p>
    <w:p>
      <w:r>
        <w:t>Bundesverwaltungsgericht, 2015-11-16, DE</w:t>
      </w:r>
    </w:p>
    <w:p>
      <w:r>
        <w:rPr>
          <w:b/>
        </w:rPr>
        <w:t xml:space="preserve">Quelle: </w:t>
      </w:r>
      <w:r>
        <w:t>https://mcp.opencaselaw.ch/entscheid/bvger_E-4094_2014</w:t>
      </w:r>
    </w:p>
    <w:p>
      <w:r>
        <w:t>FR: TAF E-4094/2014 du 16 novembre 2015</w:t>
      </w:r>
    </w:p>
    <w:p>
      <w:r>
        <w:t>IT: TAF E-4094/2014 del 16 novembre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unter Vorbehalt nachfolgender Erwägungen (vgl. E. 8) einzutreten.</w:t>
      </w:r>
    </w:p>
    <w:p>
      <w:r>
        <w:rPr>
          <w:b/>
        </w:rPr>
        <w:t>E. 2.1</w:t>
      </w:r>
    </w:p>
    <w:p>
      <w:r>
        <w:t>Die Kognition des Bundesverwaltungsgerichts und die zulässigen Rügen richten sich im Asylbereich nach Art. 106 Abs. 1 AsylG.</w:t>
      </w:r>
    </w:p>
    <w:p>
      <w:r>
        <w:rPr>
          <w:b/>
        </w:rPr>
        <w:t>E. 2.2</w:t>
      </w:r>
    </w:p>
    <w:p>
      <w:r>
        <w:t>Die Beschwerde erweist sich als offensichtlich unbegründet und ist im Verfahren einzelrichterlicher Zuständigkeit mit Zustimmung eines zweiten Richters (Art. 111 Bst. e AsylG) mit summarischer Begründung zu behandeln (Art. 111a Abs. 2 AsylG).</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Der Beschwerdeführer rügt mehrfach eine Verletzung des rechtlichen Gehörs, allerdings ohne nähere Begründung. Die Vorinstanz habe die Begründungspflicht verletzt, den Sachverhalt in Missachtung des Untersuchungsgrundsatzes unvollständig festgestellt und das Akteneinsichtsrecht verletzt. Sie sei in Willkür verfallen.</w:t>
      </w:r>
    </w:p>
    <w:p>
      <w:r>
        <w:rPr>
          <w:b/>
        </w:rPr>
        <w:t>E. 3.3.1</w:t>
      </w:r>
    </w:p>
    <w:p>
      <w:r>
        <w:t>Soweit die Rüge im Zusammenhang mit Einzelvorbringen erhoben wird (Beschwerde Ziff. 4 und 13-18), legt die Beschwerde nicht ansatzweise dar, worin eine Gehörsverletzung bestehen soll. Vielmehr beschränkt sich der Beschwerdeführer darauf, einzelne Aussagen aus dem Anhörungsprotokoll zu zitieren, die in der angefochtenen Verfügung nicht erwähnt worden seien. Das Vorbringen ist nicht geeignet, eine Verletzung der Begründungspflicht darzutun, zumal sich die Vorinstanz nicht mit allen Aussagen einzeln auseinandersetzen muss und auch nicht kann. Dass diese Aussagen im Hinblick auf die Glaubhaftmachung der Flüchtlingseigenschaft wesentlich sein könnten, ist auch nicht ersichtlich.</w:t>
      </w:r>
    </w:p>
    <w:p>
      <w:r>
        <w:rPr>
          <w:b/>
        </w:rPr>
        <w:t>E. 3.3.2</w:t>
      </w:r>
    </w:p>
    <w:p>
      <w:r>
        <w:t>Eine Gehörsverletzung liegt auch sonst nicht vor. Die Vorinstanz hat den Beschwerdeführer zur Person befragt, zu den Asylgründen angehört und den Sachverhalt nach Einräumung sämtlicher Verfahrensrechte festgestellt. Die Notwendigkeit einer zusätzlichen Anhörung oder einer Botschaftsabklärung ist nicht ersichtlich. Inwiefern dem Beschwerdeführer dadurch, dass die Anhörung drei Jahre nach der Asylgesuchseinreichung stattgefunden hat, ein Nachteil erwachsen ist, substantiiert der Beschwerdeführer nicht weiter. Dies ist auch nicht ersichtlich. Das Akteneinsichtsrecht wurde nicht verletzt, denn die Vorinstanz hat lediglich aus Gründen der Verfahrensökonomie vorderhand davon abgesehen, unwesentliche sowie bereits bekannte Unterlagen zuzusenden (vgl. Beantwortung des Akteneinsichtsgesuchs vom 24. Juni 2014). Der Rechtsvertreter wäre sodann gehalten gewesen, bei der Vorinstanz umgehend zu remonstrieren, wenn er der Meinung gewesen sein sollte, die Akten seien nicht vollständig zugestellt worden. Dies hat er offensichtlich nicht getan. Mit dem bloss vorläufigen Verzicht der Vorinstanz, sämtliche Akten in Kopien herauszugeben, hat sie das Akteneinsichtsrecht jedenfalls nicht verletzt. In Bezug auf den Wegweisungsvollzug ist der Beschwerdeführer durch den Entscheid nicht beschwert, weil die Vorinstanz zu seinen Gunsten entschieden hat. Er kann diesbezüglich auch keine Gehörsverletzung rügen.</w:t>
      </w:r>
    </w:p>
    <w:p>
      <w:r>
        <w:rPr>
          <w:b/>
        </w:rPr>
        <w:t>E. 3.3.3</w:t>
      </w:r>
    </w:p>
    <w:p>
      <w:r>
        <w:t>Das Willkürverbot hat keinen selbständigen Gehalt, weil das Bundesverwaltungsgericht Tat- und Rechtsfragen mit voller Kognition überprüfen kann. Wie nachfolgend zu zeigen ist, hat die Vorinstanz den rechtserheblichen Sachverhalt richtig und vollständig festgestellt. Eine Verletzung des rechtlichen Gehörs (in der Gestalt von Anhörungsrecht, Akteneinsichtsrecht, Abklärungs- und Begründungspflicht) liegt nicht vor. Die Rüge ist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sich in BVGE 2010/27 mit die Anforderungen an das Glaubhaftmachen von Vorbringen auseinandergesetzt und folgt dabei ständiger Praxis. Darauf kann hier verwiesen werden.</w:t>
      </w:r>
    </w:p>
    <w:p>
      <w:r>
        <w:rPr>
          <w:b/>
        </w:rPr>
        <w:t>E. 5.1</w:t>
      </w:r>
    </w:p>
    <w:p>
      <w:r>
        <w:t>Die Vorinstanz gelangt in der angefochtenen Verfügung zum Schluss, bezüglich des Vorfalls anfangs April 2009 bei dem er zwei Tage festgehalten worden sei und der Hausdurchsuchung vom (...) sei nicht davon auszugehen, dass sich eine Verfolgung des Beschwerdeführers wegen den ihm zu Last gelegten Vorwürfe mit beachtlicher Wahrscheinlichkeit und in absehbarer Zukunft verwirklichen würde. Bezüglich der Inhaftierung im Jahr 2005 fehle es an einem genügend engen Kausalzusammenhang. Die geschilderten Vorbringen würden keine asylrelevante Verfolgung begründen, weshalb auf die Prüfung der Glaubhaftigkeit der Vorbringen verzichtet werde. In ihrer Vernehmlassung führt die Vorinstanz bezüglich des eingereichten Militärbüchleins aus, dass sich dieses lediglich dazu eigne, den geleisteten Militärdienst glaubhaft zu machen. Es erlaube jedoch keine Aussage über eine allfällige Refraktion. Die blosse Möglichkeit, zukünftig als Reservist eingezogen zu werden, reiche nicht aus, um die Flüchtlingseigenschaft zu begründen. Im Nachtrag zur Vernehmlassung nimmt das SEM zum eingereichten Marschbefehl Stellung. Aus den Befragungsprotokollen gehe keine Aussage hervor, die auf die Einberufung des Beschwerdeführers zum Reservedienst schliessen lasse. Der Marschbefehl sei auf den 9. April 2012 datiert. Zumindest in der Anhörung im September 2013 wäre zu erwarten gewesen, dass der Beschwerdeführer das Reservistenaufgebot erwähnen würde. Ausserdem sei unklar wie er dreieinhalb Jahre später in den Besitz dieses Aufgebots gekommen sei. Zudem sei grundsätzlich festzuhalten, dass syrische Militärdokumente keine umfassenden Sicherheitsmerkmale aufweisen würden.</w:t>
      </w:r>
    </w:p>
    <w:p>
      <w:r>
        <w:rPr>
          <w:b/>
        </w:rPr>
        <w:t>E. 5.2</w:t>
      </w:r>
    </w:p>
    <w:p>
      <w:r>
        <w:t>Der Beschwerdeführer wendet dagegen ein, die Verfolgung aus dem Jahr 2005 sei nicht unbeachtlich, sondern müsse im Zusammenhang mit den jüngsten Ereignissen berücksichtigt werden. Er habe eine Vorverfolgung erlitten und sei den Behörden bekannt. Die Freilassung nach zwei Tagen anfangs April 2009 sei im Zusammenhang mit der Aufforderung zur Zusammenarbeit und der Androhung von schwerwiegenden Konsequenzen im Fall der Nichtzusammenarbeit zu sehen. Die Behauptung des SEM, er sei legal aus Syrien ausgereist, sei aktenwidrig. Die syrischen Behörden hätten sehr intensiv und konkret nach ihm gesucht. In seiner Replik führt der Beschwerdeführer aus, er habe seinen Militärdienst eindeutig belegt. Er habe seine Dienstpflicht verweigert. Das werde von den syrischen Behörden als Ausdruck einer regimefeindlichen Gesinnung aufgefasst, womit ihm als politischen Gegner eine unverhältnismässige Strafe drohe. Er verweise dazu auf das Urteil des Bundesverwaltungsgerichts D-5553/2013 vom 18. Februar 2015. Dass die Beweiskraft des Militäraufgebots als gering bezeichnet werde, nur weil solche Dokumente leicht fälschbar seien, grenze an Willkür. Er habe mehrmals telefonischen Kontakt mit seinem Vater gehabt, der ihm gesagt habe, dass die Militärbehörden nach ihm suchen würden. Von einem schriftlichen Aufgebot habe er damals nichts gewusst. Sobald er dies erfahren habe, habe er seinen Vater gebeten, das Aufgebot in die Schweiz zu schicken.</w:t>
      </w:r>
    </w:p>
    <w:p>
      <w:r>
        <w:rPr>
          <w:b/>
        </w:rPr>
        <w:t>E. 5.3</w:t>
      </w:r>
    </w:p>
    <w:p>
      <w:r>
        <w:t>Die vorinstanzlichen Schlussfolgerungen sind weder in tatsächlicher noch in rechtlicher Hinsicht zu beanstanden. Die Vorinstanz führt in der angefochtenen Verfügung eingehend aus, warum die Vorbringen des Beschwerdeführers nicht asylrelevant sind. So trifft zu, dass es zwischen der vom Beschwerdeführer geschilderten Inhaftierung im Jahr 2005 (vgl. SEM-Akten, A41/13 F75 ff.) und seiner Flucht im Juli 2009 an einem zeitlichen und sachlichen Kausalzusammenhang fehlt. Zwischen diesen Ereignissen liegen vier Jahre und der Beschwerdeführer absolvierte in der Zwischenzeit sogar seinen Militärdienst. Auch unter Einbezug der weiteren Vorbringen des Beschwerdeführers kann die Inhaftierung nicht als fluchtauslösend bezeichnet werden. Der Beschwerdeführer schildert weiter, er sei anfangs April 2009 für zwei Tage festgehalten worden, weil man ihn verdächtigt habe, an einer Newroz-Feier teilgenommen zu haben. Aus Mangel an Beweisen habe man ihn freigelassen (vgl. SEM-Akten, A41/13 F62 ff.). Auch hier stellt die Vor­instanz zutreffend fest, dass nicht davon auszugehen ist, dass die syrischen Behörden ein ernsthaftes Interesse am Beschwerdeführer gehabt haben, zumal sie ihn, obwohl er die Zusammenarbeit mit den Behörden abgelehnt hat, nach kurzer Zeit wieder freigelassen haben (SEM-Akten, A41/13 F64). Der Beschwerdeführer bringt weiter vor, am (...) hätten die syrischen Behörden seine Wohnung in Damaskus durchsucht und danach die Wohnung seines Onkels gestürmt und ihn gesucht (vgl. SEM-Akten, A41/13 F31 ff.). Auch hier hält die Vorinstanz korrekt fest, dass es an der asylrelevanten Intensität der Verfolgung fehlt. Der Mietvertrag der Wohnung lautete auf den Kollegen des Beschwerdeführers und gemäss seinen Angaben hätten sich neben ihm immer wieder andere Personen in der Wohnung aufgehalten. Es kann demnach nicht davon ausgegangen werden, dass der Beschwerdeführer das primäre Ziel der Hausdurchsuchung gewesen ist. Obwohl die Behörden gemäss seinen Angaben regimekritisches Material von ihm mitgenommen hätten, blieb es im Nachgang an die Hausdurchsuchung bei einer weiteren einmaligen Hausdurchsuchung bei seinem Onkel und dem blossen Nachfragen nach ihm bei seinem Vater. In der Befragung vom 5. September 2013 führte der Beschwerdeführer zudem aus, dass zuletzt im Jahr 2010 bei seinem Vater nach ihm gefragt worden sei (SEM-Akten, A41/13 F59). Dies bestätigt, dass nicht von einer asylrelevanten Verfolgung des Beschwerdeführers auszugehen ist. Dass die syrischen Behörden kein relevantes Interesse am Beschwerdeführer haben, zeigt ebenfalls, dass der Beschwerdeführer ohne Probleme mit seinem eigenen Pass und einem türkischen Visum Ende April 2009 in die Türkei aus- und danach wieder nach Syrien einreisen konnte. Dies geschah im Übrigen, gemäss den Aussagen des Beschwerdeführers, legal (SEM-Akten, A41/13 F28) und nicht, wie von ihm auf Beschwerdeebene behauptet, illegal. Zusammenfassend gelingt es dem Beschwerdeführer nicht, eine asylrelevante Verfolgung nachzuweisen beziehungsweise glaubhaft zu machen. Aus den in der Beschwerde zitierten Berichten und den eingereichten Beweismitteln kann der Beschwerdeführer nichts zu seinen Gunsten ableiten. Der im Beschwerdeverfahren nachgereichte Marschbefehl ändert daran nichts. Der Vorinstanz ist beizupflichten, wenn sie feststellt, dass das angebliche Aufgebot des Beschwerdeführers zum Reservedienst mangels Sicherheitsmerkmalen nur einen geringen Beweiswert aufweist. Hinzu kommt, dass der Marschbefehl vom 9. April 2012 datiert ist. Die Befragung des damals bereits anwaltlich vertretenen Beschwerdeführers zu den Asylgründen fand am 5. September 2013 statt. Der Beschwerdeführer erwähnte in dieser Befragung ein allfälliges Aufgebot für den Reservedienst mit keinem Wort. Zudem wurde er am Ende der Anhörung nochmals gefragt, ob er alle Asylgründe darlegen konnte. Der Beschwerdeführer antwortete mit Ja (SEM-Akten, A41/13 F94). Die Einberufung des Beschwerdeführers in den Reservedienst ist deshalb als nachgeschoben und somit als nicht glaubhaft zu qualifizieren. Aus den in der Beschwerde zitierten Urteilen des Bundesverwaltungsgerichts und den verschiedenen Berichten über Militärdienstverweigerung in Syrien kann der Beschwerdeführer nichts zu seinen Gunsten ableiten.</w:t>
      </w:r>
    </w:p>
    <w:p>
      <w:r>
        <w:rPr>
          <w:b/>
        </w:rPr>
        <w:t>E. 6.1</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w:t>
      </w:r>
    </w:p>
    <w:p>
      <w:r>
        <w:rPr>
          <w:b/>
        </w:rPr>
        <w:t>E. 6.2</w:t>
      </w:r>
    </w:p>
    <w:p>
      <w:r>
        <w:t>Die Vorinstanz kommt in der angefochtenen Verfügung diesbezüglich zum Schluss, die vom Beschwerdeführer geltend gemachten exilpolitischen Aktivitäten seien nicht geeignet, eine Furcht vor flüchtlingsrelevanter Verfolgung zu begründen. Den Akten seien keine konkreten Hinweise zu entnehmen, dass er sich in qualifizierter Weise exilpolitisch betätigt habe.</w:t>
      </w:r>
    </w:p>
    <w:p>
      <w:r>
        <w:rPr>
          <w:b/>
        </w:rPr>
        <w:t>E. 6.3</w:t>
      </w:r>
    </w:p>
    <w:p>
      <w:r>
        <w:t>Der Beschwerdeführer bringt vor, bei seiner exilpolitischen Tätigkeit handle es sich um die Fortsetzung seiner Haltung, die er bereits in seinem Heimatstaat an den Tag gelegt habe. Er sei Mitglied der (...) und unterstütze diese mit grossen Engagement. Er setze sich an vorderster Front für die Anliegen der Kurden ein und gehe nicht in der Masse unter. Er spiele eine tragende Rolle an den Newroz-Veranstaltungen in der Schweiz. Er sei nicht nur Tänzer, sondern auch Hauptakteur und eine wichtige Bezugsperson für viele Kurden in der Schweiz. Er habe sogar eine Newroz-Gruppe gegründet, welche den kurdischen Tanz ausübe und interessierten Leuten beibringe. Er habe an vielen regimekritischen Veranstaltungen teilgenommen.</w:t>
      </w:r>
    </w:p>
    <w:p>
      <w:r>
        <w:rPr>
          <w:b/>
        </w:rPr>
        <w:t>E. 6.4</w:t>
      </w:r>
    </w:p>
    <w:p>
      <w:r>
        <w:t>Zunächst ist festzuhalten, dass - da der Beschwerdeführer eine Vorverfolgung nicht glaubhaft machen konnte - ausgeschlossen werden kann, dass er vor dem Verlassen des Heimatlandes als regimefeindliche Person ins Blickfeld der syrischen Behörden geraten ist. Soweit sich seine Beschwerde zu den Nachfluchtgründen in allgemeinen Ausführungen erschöpft, ohne Bezug zum vorliegenden Fall, ist darauf nicht weiter einzugehen. Ebenso fehlt es dem Antrag auf Beiziehung verschiedener Dossiers an einem konkreten Bezug zum Asylgesuch des Beschwerdeführers. Der Antrag ist abzuweisen.</w:t>
      </w:r>
    </w:p>
    <w:p>
      <w:r>
        <w:rPr>
          <w:b/>
        </w:rPr>
        <w:t>E. 6.5</w:t>
      </w:r>
    </w:p>
    <w:p>
      <w:r>
        <w:t>Zwar ist bekannt, dass der syrische Geheimdienst im Ausland aktiv ist und gezielt Informationen über Personen syrischer Herkunft sammelt.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dem Kenntnisstand des Bundesverwaltungsgerichts exilpolitische Aktivitäten erst dann wahrgenommen und bei der Rückkehr geahndet, wenn ein exponiertes exilpolitisches Wirken an den Tag gelegt wird. An dieser Einschätzung vermag auch die derzeitige Situation in Syrien nichts zu ändern. Angesichts der blutigen Auseinandersetzungen und der unsicheren Prognose ist davon auszugehen, dass das Schwergewicht der Aktivitäten der syrischen Sicherheitskräfte, deren Mittel nicht mehr das Ausmass früherer Jahre haben, nicht bei einer grossflächigen und intensiven Überwachung der im Ausland lebenden Opposition liegt.</w:t>
      </w:r>
    </w:p>
    <w:p>
      <w:r>
        <w:rPr>
          <w:b/>
        </w:rPr>
        <w:t>E. 6.6</w:t>
      </w:r>
    </w:p>
    <w:p>
      <w:r>
        <w:t>Aus den vom Beschwerdeführer im vorinstanzlichen Verfahren und anlässlich des Beschwerdeverfahrens eingereichten Beweismitteln ergibt sich, dass der Beschwerdeführer zumindest in gewissem Rahmen exilpolitisch aktiv ist. Sein exilpolitisches Wirken ist jedoch nicht derart exponiert, dass er bei einer Rückkehr nach Syrien Furcht vor asylrelevanter Verfolgung haben müsste. Entgegen den Beschwerdevorbringen geht aus den Akten und Beweismitteln nicht hervor, dass er im Vergleich zu den anderen exilpolitisch tätigen Syrern besonders hervortritt. So ist zwar ersichtlich, dass er durch seine Teilnahmen an Demonstrationen durchaus exilpolitisch in Erscheinung tritt, jedoch exponiert er sich damit nicht derart, dass er die Aufmerksamkeit der syrischen Behörden erwecken würde. Bei der vom Beschwerdeführer gegründeten Newroz-Gruppe, die Tanzveranstaltungen organsiert, handelt es sich nicht um exilpolitische Tätigkeit, sondern um kulturelle Tätigkeit. Inwiefern er aus der Masse der exilpolitisch aktiven Syrer beziehungsweise Kurden hervorgetreten sein und dadurch eine Registrierung durch die syrischen Behörden oder anderen in Syrien tätigen Gruppierungen bewirkt haben sollte, ist nicht einzusehen. Dies insbesondere auch deshalb, weil in der Schweiz unzählige exilpolitische Anlässe durchgeführt werden, sodass es den syrischen Behörden unmöglich sein dürfte, alle diese Anlässe genau zu überwachen. Derartige Nachforschungen erfolgen nur sehr gezielt und beschränken sich erwartungsgemäss auf Personen in führender Rolle, zu welchen der Beschwerdeführer nicht gehört. Es gelingt ihm nicht aufzuzeigen, inwiefern die syrischen Behörden gerade an ihm ein spezielles Interesse zeigen sollten. Eine ausführliche Würdigung der Beweismittel erübrigt sich, da diese am feststehenden Ergebnis nichts mehr zu ändern vermöchten. Der Beschwerdeführer erfüllt die Voraussetzungen für die Zuerkennung der Flüchtlingseigenschaft gemäss Art. 3 AsylG unter dem Aspekt subjektiver Nachfluchtgründe gemäss Art. 54 AsylG nicht.</w:t>
      </w:r>
    </w:p>
    <w:p>
      <w:r>
        <w:rPr>
          <w:b/>
        </w:rPr>
        <w:t>E. 7.1</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7.2</w:t>
      </w:r>
    </w:p>
    <w:p>
      <w:r>
        <w:t>Der Vollzug der Wegweisung wurde zu 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und den rechtserhebliche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eingetreten werden kann.</w:t>
      </w:r>
    </w:p>
    <w:p>
      <w:r>
        <w:rPr>
          <w:b/>
        </w:rPr>
        <w:t>E. 9</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am 7. August 2014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