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E-408/2016 vom 1. März 2019</w:t>
      </w:r>
    </w:p>
    <w:p>
      <w:r>
        <w:t>Bundesverwaltungsgericht, 2019-03-01, DE</w:t>
      </w:r>
    </w:p>
    <w:p>
      <w:r>
        <w:rPr>
          <w:b/>
        </w:rPr>
        <w:t xml:space="preserve">Quelle: </w:t>
      </w:r>
      <w:r>
        <w:t>https://mcp.opencaselaw.ch/entscheid/bvger_E-408_2016</w:t>
      </w:r>
    </w:p>
    <w:p>
      <w:r>
        <w:t>FR: TAF E-408/2016 du 1 mars 2019</w:t>
      </w:r>
    </w:p>
    <w:p>
      <w:r>
        <w:t>IT: TAF E-408/2016 del 1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vor Bundesverwaltungsgericht können im Asylbereich die Verletzung von Bundesrecht (einschliesslich Missbrauch und Überschrei-ten des Ermessens) sowie die unrichtige oder unvollständige Feststellung des rechtserheblichen Sachverhalts gerügt werden (Art. 106 Abs. 1 AsylG). Im Bereich des Ausländerrechts richtet sich die Kognition nach Art. 49 VwVG, weshalb die Rüge der Unangemessenheit in diesem Bereich zuge-lassen wird (Art. 112 AuG [SR 142.20];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Für das erstinstanzliche Asylverfahren bedeutet dies, dass das SEM zur richtigen und vollständigen Ermittlung und Feststellung des rechtserheblichen Sachverhalts verpflichtet ist und auch nach allen Elementen zu forschen hat, die zugunsten der asylsuchenden Person sprechen.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jedoch nicht verpflichtet, zu jedem Sachverhaltselement umfangreiche Nachforschungen anzustellen. Zusätzliche Abklärungen sind vielmehr nur dann vorzunehmen, wenn sie aufgrund der Aktenlage als angezeigt erscheinen. Alle erheblichen Parteivorbringen sind sodann zu prüfen und zu würdigen, wobei sich das Ergebnis der Würdigung in der Entscheidbegründung niederzuschlagen hat (vgl. Art. 29 Abs. 2 BV; Art. 35 Abs. 1 VwVG).</w:t>
      </w:r>
    </w:p>
    <w:p>
      <w:r>
        <w:rPr>
          <w:b/>
        </w:rPr>
        <w:t>E. 4.2</w:t>
      </w:r>
    </w:p>
    <w:p>
      <w:r>
        <w:t>Die Parteien haben gemäss Art. 29 VwVG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5.1</w:t>
      </w:r>
    </w:p>
    <w:p>
      <w:r>
        <w:t>Der angefochtene Entscheid des SEM wird den genannten Kriterien nicht in der erforderlichen Weise gerecht. Die Vorinstanz hat es unterlassen, sich mit den Vorbringen der Beschwerdeführerin zur Begründung ihres Asylgesuchs in ernsthafter Weise oder überhaupt auseinandersetzen. In der angefochtenen Verfügung werden lediglich die Aussagen des Beschwerdeführers zur Begründung seines Asylgesuchs wiedergegeben und unter Hinweis auf eine angebliche Verletzung der Mitwirkungspflicht durch das Vorenthalten der Reisepässe - trotz Einreichens der Identitätskarten - in rudimentärer Weise ausgeführt, weshalb sie aus Sicht der Vorinstanz nicht geeignet seien, Asylgründe glaubhaft zu machen, respektive aufgrund einer angeblich vorhandenen innerstaatlichen Schutzalternative nicht asylrelevant seien. Von den zahlreichen eingereichten Beweismitteln (vgl. A6) werden lediglich die als Beweismittel 1 und 2 eingereichten Berichte in den Tageszeitungen (...) und (...) erwähnt, ohne dass ausgeführt wird, inwiefern sich eine Auseinandersetzung mit den anderen Beweismitteln erübrige. Die Aussagen der Beschwerdeführerin bei der BzP und der Anhörung (vgl. Buchstabe A.c vorstehend) werden weder im Sachverhalt aufgeführt noch wird in den Erwägungen oder in der Vernehmlassung überhaupt darauf eingegangen. Der angefochtenen Verfügung kann somit nicht entnommen werden, weshalb das Asylgesuch der Beschwerdeführerin abgelehnt worden ist. Des Weiteren ist die einseitige und mangelhafte Würdigung der Aussagen des Beschwerdeführers zu beanstanden. Insbesondere haben die Beschwerdeführenden diverse Beweismittel zu den Akten gereicht, die das in seiner Eigenschaft als Singhalese und Buddhist auffällig atypische jahrelange politische Engagement des Beschwerdeführers für den SLMC (...) aufzeigen. Hinzu kommt, dass sie übereinstimmend ausgesagt hatten, sie seien am (...) 2014 aus der buddhistischen Gemeinde ausgeschlossen worden mit der Folge, dass sie die Tempel ihrer Glaubensgemeinde nicht mehr hätten besuchen dürfen und (...) der Besuch der buddhistischen Schule untersagt worden sei. Des Weiteren sagte der Beschwerdeführer aus, die Polizei habe sich geweigert, die Anzeige seines (...) wegen des Vorfalls vom (...) 2014 entgegen zu nehmen. Zum angeblichen Widerspruch in Bezug auf das Verhalten der Beschwerdeführenden nach dem Vorfall vom (...) 2014 wird in der Beschwerde in formeller Hinsicht zu Recht gerügt, das SEM habe das rechtliche Gehör verletzt, weil es dem Beschwerdeführer bei der Anhörung nicht die Gelegenheit eingeräumt habe, zum vermeintlichen Widerspruch zwischen seinen Aussagen bei der BzP und denjenigen bei der Anhörung Stellung zu nehmen. In materieller Hinsicht scheint auch die Argumentation in der Beschwerde, es könne aufgrund der Aussage des Beschwerdeführers bei der BzP nicht abgeleitet werden, dass sich die Beschwerdeführenden vor ihrem Untertauchen nicht noch an ihrem Wochenenddomizil in G._______ aufgehalten hätten, zutreffend (vgl. Beschwerdeschrift S. 20, Ziff. 5.2). Hinsichtlich der vom SEM vorgenommenen Glaubhaftigkeitsprüfung der Vorbringen in der angefochtenen Verfügung fällt überhaupt auf, dass das SEM keine ausgewogene Abwägung vornimmt, sondern einseitig Elemente berücksichtigt, die aus seiner Sicht gegen den Wahrheitsgehalt des Vorgebrachten sprechen. Dass gewisse Vorbringen gemäss Aktenlage Realkennzeichen und Substanz aufweisen sowie ohne weiteres mit den Realitäten in Sri Lanka, insbesondere im betreffenden Zeitraum, vereinbar sind, wird nicht erwähnt. Selbst wenn die Mutmassung des SEM, es könnte sich bei den Berichten in den Tageszeitungen (...) und (...) um von Journalisten eigens verfasste Gefälligkeitsartikel handeln, zutreffen sollte, wäre die politische Exponiertheit des Beschwerdeführers zu veranschlagen und in rechtsgenüglicher Weise zu begründen gewesen, weshalb eine konkrete Gefährdung der Beschwerdeführenden und (...) bei ihrer Rückkehr nach Sri Lanka trotzdem nicht überwiegend wahrscheinlich sei. Da aber ohnehin eine vollumfängliche Kassation wegen unvollständiger respektive unrichtiger Sachverhaltsfeststellung und mangelhafter Beweiswürdigung ergeht, kann davon abgesehen werden, allfällige weitere Gehörsverletzungen wie beispielsweise die Verwendung eines falschen Massstabs bei der Prüfung der Aussagen durch das SEM vertieft zu analysieren. Vor diesem Hintergrund erübrigt sich an dieser Stelle auch das Eingehen auf die weiteren Beschwerderügen und Anträge.</w:t>
      </w:r>
    </w:p>
    <w:p>
      <w:r>
        <w:rPr>
          <w:b/>
        </w:rPr>
        <w:t>E. 5.2</w:t>
      </w:r>
    </w:p>
    <w:p>
      <w:r>
        <w:t>Damit steht fest, dass sich die Vorinstanz in der Abfassung der angefochtenen Verfügung nicht mit allen Vorbringen der Beschwerdeführenden und den zu deren Stützung eingereichten Beweismitteln befasst hat, womit sie den Sachverhalt unvollständig respektive unrichtig festgestellt und ihre Begründungspflicht sowie den Anspruch auf rechtliches Gehör verletzt hat.</w:t>
      </w:r>
    </w:p>
    <w:p>
      <w:r>
        <w:rPr>
          <w:b/>
        </w:rPr>
        <w:t>E. 5.3</w:t>
      </w:r>
    </w:p>
    <w:p>
      <w:r>
        <w:t>Eine Verletzung des rechtlichen Gehörs führt grundsätzlich - das heisst ungeachtet der materiellen Auswirkungen - zur Aufhebung der angefochtenen Verfügung. Eine Heilung der Gehörsverletzung aus prozessökonomischen Gründen auf Beschwerdeebene kommt vorliegend - unbesehen der Kognitionsbeschränkung der Beschwerdeinstanz - auch deshalb nicht in Betracht, weil das SEM im Rahmen des Schriftenwechsels überhaupt nicht auf relevante und zutreffende Beschwerderügen eingegangen ist.</w:t>
      </w:r>
    </w:p>
    <w:p>
      <w:r>
        <w:rPr>
          <w:b/>
        </w:rPr>
        <w:t>E. 5.4</w:t>
      </w:r>
    </w:p>
    <w:p>
      <w:r>
        <w:t>Nach dem Gesagten ist die Beschwerde gutzuheissen. Die Verfügung vom 17. Dezember 2015 ist aufzuheben und die Sache zur Gewährung des rechtlichen Gehörs sowie zur vollständigen respektive richtigen Feststellung des Sachverhaltes und anschliessenden Neubeurteilung an das SEM zurückzuweisen.</w:t>
      </w:r>
    </w:p>
    <w:p>
      <w:r>
        <w:rPr>
          <w:b/>
        </w:rPr>
        <w:t>E. 5.5</w:t>
      </w:r>
    </w:p>
    <w:p>
      <w:r>
        <w:t>Angesichts der Rückweisung der Sache an die Vorinstanz erübrigt es sich, auf weitere Vorbringen in der Beschwerde und die eingereichten Beweismittel einzugehen, weil sie ebenfalls Gegenstand des wiederaufzunehmenden erstinstanzlichen Verfahrens sein werden und die Vorinstanz sich damit zu befassen haben wird.</w:t>
      </w:r>
    </w:p>
    <w:p>
      <w:r>
        <w:rPr>
          <w:b/>
        </w:rPr>
        <w:t>E. 6.1</w:t>
      </w:r>
    </w:p>
    <w:p>
      <w:r>
        <w:t>Bei diesem Ausgang des Verfahrens sind keine Kosten zu erheben (Art. 63 Abs. 1 und 2 VwVG), womit das mit Zwischenverfügung vom 1. März 2016 gutgeheissene Gesuch um Befreiung von der Bezahlung der Verfahrenskosten im Sinne von Art. 65 Abs. 1 VwVG gegenstandslos wird.</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Entschädigungspflichtig ist, wie erwähnt, nur der notwendige Aufwand, weshalb es zu berücksichtigen gilt, dass die Beschwerdeeingabe und die Eingabe vom 6. November 2016 Ausführungen zur allgemeinen Lage in Sri Lanka, die sich auch in den Eingaben des Rechtsvertreters in anderen Beschwerdeverfahren finden, enthalten. Die von der Vorinstanz auszurichtende Parteientschädigung wird in Anwendung der genannten Bestimmungen und unter Berücksichtigung der massgeblichen Bemessungsfaktoren demnach von Amtes wegen auf pauschal Fr. 1200.-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