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E-4088/2022 vom 21. September 2022</w:t>
      </w:r>
    </w:p>
    <w:p>
      <w:r>
        <w:t>Bundesverwaltungsgericht, 2022-09-21, DE</w:t>
      </w:r>
    </w:p>
    <w:p>
      <w:r>
        <w:rPr>
          <w:b/>
        </w:rPr>
        <w:t xml:space="preserve">Quelle: </w:t>
      </w:r>
      <w:r>
        <w:t>https://mcp.opencaselaw.ch/entscheid/bvger_E-4088_2022</w:t>
      </w:r>
    </w:p>
    <w:p>
      <w:r>
        <w:t>FR: TAF E-4088/2022 du 21 septembre 2022</w:t>
      </w:r>
    </w:p>
    <w:p>
      <w:r>
        <w:t>IT: TAF E-4088/2022 del 21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italienischen Behörden liessen das Übernahmeersuchen der Vor-instanz innert der in Art. 22 Abs. 1 Dublin-III-VO vorgesehenen Frist unbeantwortet, womit sie die Zuständigkeit Italiens implizit anerkannten (Art. 22 Abs. 7 Dublin-III-VO). Italien ist folglich zur Wiederaufnahme des Beschwerdeführers verpflichtet. Dass in der Ausweisungsverfügung vom 28. Juni 2022 gegen den Beschwerdeführer neben der Ausweisung aus Italien auch ein dreijähriges Einreiseverbot angeordnet wurde, vermag daran nichts zu ändern; gegen eine Überstellung des Beschwerdeführers aus der Schweiz nach Italien im Rahmen eines Dublin-Verfahrens würde das von den italienischen Behörden erlassene Einreiseverbot nicht greifen (vgl. Urteil des BVGer D-3501/2021 vom 11. August 2021 E. 6.1).</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4.1</w:t>
      </w:r>
    </w:p>
    <w:p>
      <w:r>
        <w:t>Der Beschwerdeführer macht geltend, es bestehe die Gefahr, dass er in Italien in eine existenzielle Notlage geraten würde. Es herrsche eine hohe Arbeitslosigkeit, so habe auch er keine Arbeit dort. Er verfüge über keine sozialen Kontakte und beherrsche die Sprache nicht. In der Schweiz habe er bereits einige soziale Kontakte. Zudem sei es in der Schweiz einfacher, sich zu integrieren, eine Arbeit zu finden und ein menschenwürdiges Leben zu führen. Zudem hätten ihm die italienischen Behörden gemäss dem eingereichten Dokument einen Landesverweis wegen illegalen Aufenthalts erteilt, weshalb er während der nächsten drei Jahren nicht mehr nach Italien einreisen dürfe.</w:t>
      </w:r>
    </w:p>
    <w:p>
      <w:r>
        <w:rPr>
          <w:b/>
        </w:rPr>
        <w:t>E. 4.2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Aufnahmesystem weisen demnach keine systemischen Mängel auf (Urteil des EGMR S.M.H. gegen die Niederlande vom 17. Mai 2016, Nr. 5868/13, Ziff. 46; Referenzurteil des BVGer F-6330/2020 E. 9.1; Referenzurteil des BVGer E-962/2019 vom 17. Dezember 2019 E. 6.3). Der Beschwerdeführer bringt nichts vor, das Anlass zu einer anderen Auffassung und zur Änderung der Rechtsprechung geben könnte. Eine Anwendung von Art. 3 Abs. 2 Dublin-III-VO ist daher nicht gerechtfertigt.</w:t>
      </w:r>
    </w:p>
    <w:p>
      <w:r>
        <w:rPr>
          <w:b/>
        </w:rPr>
        <w:t>E. 5</w:t>
      </w:r>
    </w:p>
    <w:p>
      <w:r>
        <w:t>Beim Beschwerdeführer ist keine rechtserhebliche medizinische Problemstellung erkennbar, er wurde in der Schweiz lediglich wegen einer kleinen Wunde am Fuss behandelt. Er machte keine gesundheitlichen Beschwerden geltend. Es ist nicht davon auszugehen, dass er eine weitere medizinische Behandlung benötigt. Im Übrigen ist darauf hinzuweisen, dass Italien grundsätzlich über eine ausreichende medizinische Infrastruktur verfügt (Urteile des BVGer D-3857/2022 vom 9. September 2022 E. 8.3.3; F-3214/2022 vom 1. September 2022 E. 5.6). Der Zugang für asylsuchende Personen zum italienischen Gesundheitssystem über die Notversorgung hinaus ist derzeit grundsätzlich gewährleistet, auch wenn es in der Praxis zu zeitlichen Verzögerungen kommen kann (Urteil E-962/2019 E. 6.2.7). Es liegen keine Hinweise vor, wonach dem Beschwerdeführer dort eine adäquate medizinische Behandlung verweigert würde. Folglich droht keine Verletzung von Art. 3 EMRK, weshalb die Schweiz nicht zum Selbsteintritt nach Art. 17 Abs. 1 Dublin-III-VO verpflichtet ist; auch humanitäre Gründe i.S.v. Art. 29a Abs. 3 AsylV 1 liegen nicht vor.</w:t>
      </w:r>
    </w:p>
    <w:p>
      <w:r>
        <w:rPr>
          <w:b/>
        </w:rPr>
        <w:t>E. 6</w:t>
      </w:r>
    </w:p>
    <w:p>
      <w:r>
        <w:t>Nach dem Gesagten ist die Beschwerde abzuweisen. Mit dem vorliegenden Urteil fällt der am 16. September 2022 angeordnete Vollzugsstopp dahin.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