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E-4087/2015 vom 18. August 2015</w:t>
      </w:r>
    </w:p>
    <w:p>
      <w:r>
        <w:t>Bundesverwaltungsgericht, 2015-08-18, DE</w:t>
      </w:r>
    </w:p>
    <w:p>
      <w:r>
        <w:rPr>
          <w:b/>
        </w:rPr>
        <w:t xml:space="preserve">Quelle: </w:t>
      </w:r>
      <w:r>
        <w:t>https://mcp.opencaselaw.ch/entscheid/bvger_E-4087_2015</w:t>
      </w:r>
    </w:p>
    <w:p>
      <w:r>
        <w:t>FR: TAF E-4087/2015 du 18 août 2015</w:t>
      </w:r>
    </w:p>
    <w:p>
      <w:r>
        <w:t>IT: TAF E-4087/2015 del 18 agosto 2015</w:t>
      </w:r>
    </w:p>
    <w:p>
      <w:pPr>
        <w:pStyle w:val="Heading2"/>
      </w:pPr>
      <w:r>
        <w:t>Regeste</w:t>
      </w:r>
    </w:p>
    <w:p>
      <w:r>
        <w:t>Asyl (ohne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Die Gesuchstellenden sind durch das angefochtene Urteil besonders berührt und haben ein schutzwürdiges Interesse an dessen Aufhebung beziehungsweise Änderung, womit die Legitimation gegeben ist (Art. 48 Abs. 1 VwVG analog).</w:t>
      </w:r>
    </w:p>
    <w:p>
      <w:r>
        <w:rPr>
          <w:b/>
        </w:rPr>
        <w:t>E. 1.3</w:t>
      </w:r>
    </w:p>
    <w:p>
      <w:r>
        <w:t>Im Revisionsgesuch ist der angerufene Revisionsgrund anzugeben und die Rechtzeitigkeit des Revisionsbegehrens im Sinne von Art. 124 BGG darzutun. Die Gesuchstellenden machen den Revisionsgrund gemäss Art. 123 Abs. 2 Bst. a BGG geltend und bringen vor, dass sie in den Aussagen von G._______ neue und erhebliche Tatsachen aufgefunden hätten. Die Rechtzeitigkeit des Revisionsbegehrens gemäss Art. 124 Abs. 1 Bst. d BGG ist ebenfalls zu bejahen. So wird den Gesuchstellenden geglaubt, dass sie - wie in ihrer Revisionsverbesserung vorgetragen - erst Ende Mai 2015 davon erfahren haben, dass G._______ sich überhaupt in der Schweiz aufhält. Auf das im Übrigen form- und fristgerecht eingereichte Revisionsgesuch (vgl. Art. 124 BGG, Art. 47 VGG i.V.m. Art. 67 Abs. 3 VwVG) ist deshalb einzutreten.</w:t>
      </w:r>
    </w:p>
    <w:p>
      <w:r>
        <w:rPr>
          <w:b/>
        </w:rPr>
        <w:t>E. 2.1</w:t>
      </w:r>
    </w:p>
    <w:p>
      <w:r>
        <w:t>Es ist zu prüfen, ob die von den Gesuchstellenden geltend gemachten Vorbringen den revisionsrechtlichen Anforderungen genügen. Nachträglich erfahrene Tatsachen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2.2</w:t>
      </w:r>
    </w:p>
    <w:p>
      <w:r>
        <w:t>In seiner Zwischenverfügung vom 3. Juli 2015 wies das Bundesverwaltungsgericht die Gesuchstellenden darauf hin, dass aus den Befragungsprotokollen von G._______ nicht hervorgehe, dass die syrischen Behörden diesen zum Erhalt der Namen weiterer Regimegegner gefoltert hätten, und auch an keiner Stelle der Name des Gesuchstellers genannt werde oder Unterbrechungen respektive Hinweise des Befragers, andere Personen seien nicht von Interesse, vermerkt seien. Folglich findet die angebliche Preisgabe des Namens des Gesuchstellers gegenüber den syrischen Behörden durch G._______ und die daraus hergeleitete erhöhte Verfolgungsgefahr der Gesuchstellenden im von ihnen geltend gemachten Revisionsgrund keine Grundlage. Daran ändert auch die Erklärung im Rahmen der Revisionsergänzung - G._______ habe dem Gesuchsteller telefonisch mitgeteilt, dass er anlässlich seiner Befragungen ausgesagt habe, gefoltert worden zu sein und dabei unter anderem den Namen des Gesuchstellers erwähnt zu haben, wobei der Protokollführer gemeint habe, er brauche diese Information nicht - nichts. So blieben diese Vorbringen reine Behauptungen. Auch ist nicht ersichtlich, inwiefern eine Preisgabe des Namens des Gesuchstellers dessen Situation verschlechtern würde, dürfte den syrischen Behörden bei der Durchsuchung seiner [Werkstatt] doch bekannt gewesen sein, dass es sich bei ihm um den Inhaber handelt, hätten sie sich ansonsten doch wohl kaum bei seiner Ehefrau nach seinem Verbleib erkundigt. Wie das Bundesverwaltungsgericht den Gesuchstellenden in seiner Zwischenverfügung vom 3. Juli 2015 bereits mitgeteilt hat, ist den Befragungsprotokollen des Kollegen des Gesuchstellers einzig zu entnehmen, dass es [im 2012] eine Durchsuchung in einer [Werkstatt] in F._______ gegeben habe und er daraufhin festgenommen und für einen Tag festgehalten worden sei, wobei er im März 2013 erneut verhaftet worden und bis im September 2014 inhaftiert gewesen sei. Selbst wenn nicht in Frage gestellt wird, dass es sich bei der von G._______ erwähnten [Werkstatt] um jene des Gesuchstellers handelt, ist dieses Vorbringen unerheblich. So wurde in der Verfügung der Vorinstanz vom 24. Januar 2014 und im Urteil des Bundesverwaltungsgerichts vom 17. Juli 2014 nicht per se daran gezweifelt, dass es [im 2012] eine Durchsuchung in der [Werkstatt] des Gesuchstellers gegeben haben soll. Vielmehr wurde nicht geglaubt, dass die syrischen Behörden ein ernsthaftes Interesse an einer Festnahme des Gesuchstellers hatten (vgl. Bst. A.a und A.b). Dass dennoch ein solches Interesse vorgelegen hat, wird durch die Aussagen von G._______ nicht belegt. Im Gegenteil weist seine Aussage, nach einem Tag wieder freigekommen zu sein, darauf hin, dass die syrischen Behörden den regimekritischen Aktivitäten des Gesuchstellers und seines Kollegen keine allzu grosse Bedeutung beigemessen haben dürften. G._______ wurde denn auch nicht wegen der Durchsuchung der [Werkstatt] und der darauffolgenden kurzzeitigen Festnahme, sondern wegen späterer Ereignisse Asyl gewährt. Nach dem Gesagten erweist sich der von den Gesuchstellenden geltend gemachte Revisionsgrund als unerheblich, da er nicht geeignet ist, den rechtserheblichen Sachverhalt so zu verändern, dass das Urteil bei dessen Kenntnis anders ausgefallen wäre.</w:t>
      </w:r>
    </w:p>
    <w:p>
      <w:r>
        <w:rPr>
          <w:b/>
        </w:rPr>
        <w:t>E. 2.3</w:t>
      </w:r>
    </w:p>
    <w:p>
      <w:r>
        <w:t>Bezüglich der vorgetragenen Verständigungsschwierigkeiten respektive der mangelhaften Kompetenzen der Dolmetscher lässt sich feststellen, dass diese den Gesuchstellenden bereits im ordentlichen Verfahren bekannt waren und damals auch vorgetragen wurden (vgl. Urteil des BVGer E-950/2014 vom 17. Juli 2014 E. 5.2). Folglich können sie im Rahmen einer Revision keine Beachtung finden.</w:t>
      </w:r>
    </w:p>
    <w:p>
      <w:r>
        <w:rPr>
          <w:b/>
        </w:rPr>
        <w:t>E. 3</w:t>
      </w:r>
    </w:p>
    <w:p>
      <w:r>
        <w:t>Demnach ist es den Gesuchstellenden nicht gelungen, relevante Gründe darzutun, die eine Revision des Urteils des Bundesverwaltungsgerichts vom 17. Juli 2014 rechtfertigen würden. Das Gesuch vom 22. Juni 2015 ist demzufolge abzuweisen.</w:t>
      </w:r>
    </w:p>
    <w:p>
      <w:r>
        <w:rPr>
          <w:b/>
        </w:rPr>
        <w:t>E. 4</w:t>
      </w:r>
    </w:p>
    <w:p>
      <w:r>
        <w:t>Nach dem Gesagten wären die Verfahrenskosten den Gesuchstellenden aufzuerlegen (Art. 63 Abs. 1 VwVG). Das im Rahmen der Revision gestellt Gesuch um Gewährung der unentgeltlichen Rechtspflege im Sinne von Art. 65 Abs. 1 VwVG ist indes gutzuheissen, da die Begehren nicht von vorneherein aussichtslos waren und die Bedürftigkeit der Gesuchstellenden mittels Fürsorgebestätigung der Gemeinde H._______ vom 23. Juni 2015 belegt wurde. Mithin werden von den Gesuchstellenden keine Verfahrenskosten erhoben.</w:t>
      </w:r>
    </w:p>
    <w:p>
      <w:r>
        <w:rPr>
          <w:b/>
        </w:rPr>
        <w:t>E. 5</w:t>
      </w:r>
    </w:p>
    <w:p>
      <w:r>
        <w:t>Das Gesuch um unentgeltliche Rechtsverbeiständung, welches im Revisionsverfahren nach Art. 65 Abs. 2 VwVG zu beurteilen ist (vgl. Art. 110a Abs. 2 AsylG), ist indes mangels Notwendigkeit der professionellen juristischen Hilfe, abzuweisen. So ging es vorliegend lediglich um die Feststellung des rechtserheblichen Sachverhaltes. Besondere Rechtskenntnisse waren demgegenüber nicht erforderlich.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