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E-4084/2016 vom 8. Juli 2016</w:t>
      </w:r>
    </w:p>
    <w:p>
      <w:r>
        <w:t>Bundesverwaltungsgericht, 2016-07-08, DE</w:t>
      </w:r>
    </w:p>
    <w:p>
      <w:r>
        <w:rPr>
          <w:b/>
        </w:rPr>
        <w:t xml:space="preserve">Quelle: </w:t>
      </w:r>
      <w:r>
        <w:t>https://mcp.opencaselaw.ch/entscheid/bvger_E-4084_2016</w:t>
      </w:r>
    </w:p>
    <w:p>
      <w:r>
        <w:t>FR: TAF E-4084/2016 du 8 juillet 2016</w:t>
      </w:r>
    </w:p>
    <w:p>
      <w:r>
        <w:t>IT: TAF E-4084/2016 del 8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lehnte das Asylgesuch mangels Asylrelevanz ab. Befürchtungen, künftig ernsthaften Nachteilen ausgesetzt zu sein, seien nur asylrelevant, wenn aus objektiver Sicht hinreichende Anhaltspunkte für eine konkrete Bedrohung, welche sich mit beachtlicher Wahrscheinlichkeit und in absehbarer Zeit verwirklichen werde, vorhanden seien. Die vom Beschwerdeführer geltend gemachten Asylgründe, die Bedrohung durch den Schwiegervater und die Taliban, erfüllten diese Voraussetzungen indes nicht. So sei es seitens des Schwiegervaters bei sporadischen, telefonischen Drohungen geblieben; zu konkreten Verfolgungshandlungen gegenüber dem Beschwerdeführer oder seiner Ehefrau sei es zwischen 2012 bis zu dessen Ausreise 2015 nicht gekommen. Ebenso habe es trotz Drohungen in den letzten zwei Jahren nie konkrete Verfolgungshandlungen gegenüber dem Beschwerdeführer oder seiner Familie durch die Taliban gegeben. Die Familie des Beschwerdeführers lebe offenbar nach wie vor ohne Sicherheitsprobleme in ihrem Heimatdorf.</w:t>
      </w:r>
    </w:p>
    <w:p>
      <w:r>
        <w:rPr>
          <w:b/>
        </w:rPr>
        <w:t>E. 4.2</w:t>
      </w:r>
    </w:p>
    <w:p>
      <w:r>
        <w:t>Der Beschwerdeführer macht in seiner Eingabe geltend, als Schiite mit der Zugehörigkeit zur Ethnie der Hazara und aufgrund der Arbeitsstelle seines Vaters sei sein Leben durch die Taliban gefährdet. Eine weitere Bedrohung stelle der Schwiegervater dar, der gegen die Heirat mit seiner Tochter gewesen sei. Der Beschwerdeführer wiederholt somit im Wesentlichen seine Vorbringen aus dem vorinstanzlichen Verfahren. In seinen oberflächlich gehaltenen Ausführungen setzt er sich nicht ansatzweise mit den Asylablehnungsgründen der Vorinstanz auseinander. Insbesondere vermag er keine konkreten Anhaltspunkte für künftig drohende, ernsthafte Nachteile darzulegen. Vielmehr begnügt er sich mit der Schilderung der politisch angespannten Lage in Afghanistan. Gründe für das Verlassen von Afghanistan, die sich aus der allgemeinen politischen Situation des Landes ergeben und grosse Teile der afghanischen Bevölkerung in ähnlicher Weise betreffen, genügen jedoch nicht als Asylgrund. Die Schlussfolgerungen der Vorinstanz sind somit weder in tatsächlicher noch in rechtlicher Hinsicht zu beanstanden; sie hat das Asylgesuch zu Recht abgewiesen.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(Urteile des BVGer D-2086/2016 vom 11. Mai 2016, D-5168/2015 vom 16. November 2015, E-5014/2015 vom 28. Oktober 2015). Zwar ist gegenüber der Lageanalyse in BVGE 2011/7 von einem Anstieg der Anschläge sowie von einer steigenden Kriminalität auszugehen. Insgesamt lässt sich jedoch nicht auf eine Situation allgemeiner Gewalt in Kabul schliessen. Der Beschwerdeführer ist jung, gesund und verfügt mit Verwandten in Kabul über ein tragfähiges soziales Netz (vgl. A 5/16, S. 7; A 17/11, S. 7 f.). Die Vorinstanz hat daher zu Recht den Wegweisungsvollzug in die Hauptstadt Kabul als innerstaatliche Wohnsitzalternative für zumutbar gehalten. Im Übrigen bringt der Beschwerdeführer auch keine Gründe gegen den Wegweisungsvollzug vor und setzt sich mit den vorinstanzlichen Erwägungen nicht auseinander.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