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E-4079/2010 vom 29. September 2010</w:t>
      </w:r>
    </w:p>
    <w:p>
      <w:r>
        <w:t>Bundesverwaltungsgericht, 2010-09-29, DE</w:t>
      </w:r>
    </w:p>
    <w:p>
      <w:r>
        <w:rPr>
          <w:b/>
        </w:rPr>
        <w:t xml:space="preserve">Quelle: </w:t>
      </w:r>
      <w:r>
        <w:t>https://mcp.opencaselaw.ch/entscheid/bvger_E-4079_2010</w:t>
      </w:r>
    </w:p>
    <w:p>
      <w:r>
        <w:t>FR: TAF E-4079/2010 du 29 septembre 2010</w:t>
      </w:r>
    </w:p>
    <w:p>
      <w:r>
        <w:t>IT: TAF E-4079/2010 del 29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gelten restriktiv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Schweizerische Asylrekurskommission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es seien keine konkreten Hinweise vorhanden, wonach der Beschwerdeführer in Lettland Verfolgungsmassnahmen im asylrechtlichen Sinne ausgesetzt wäre. Es treffe zwar zu, dass Lettland auf dem internationalen Korruptionsindex der Europäischen Union (EU) gegenwärtig nur im unteren Drittel abgebildet sei. Jedoch sei Lettland mit dem Betritt zur EU internationale Abkommen und Verpflichtungen eingegangen, welche die Senkung der Korruption zum Ziel gesetzt hätten. Lettland sei ein Staat mit einer gefestigten demokratischen Ordnung. Die Gerichte seien unabhängig und würden allen Personen ein gerechtes Verfahren gewähren. Lettland sei auch ein Signatarstaat der Menschenrechtskonvention und der Genfer Flüchtlingskonvention. Freiheit und Menschenrechte würden in Lettland respektiert und hochgehalten. Dem Beschwerdeführer stehe es frei, sowohl innerhalb Lettlands als auch bei den juristischen Instanzen der EU rechtliche Wege zu beschreiten. Unterstützung könne er vom KNAB erhalten, an welches er sich bereits gewandt habe. Er könne sich nötigenfalls auch von einem Anwalt vertreten lassen. Die Eingaben und Beweismittel enthielten keinen konkreten Nachweis für seine Einschätzungen, wonach Wirtschaftspolizisten in amtsmissbräuchlicher Weise beabsichtigt hätten, ihm persönlich zu schaden. Ferner entspringe es dem legitimen Anspruch eines Staates, vermutetes kriminelles Unrecht zu verfolgen, selbst wenn die Massnahmen aufgrund von einem nicht gerechtfertigten Verdacht eingeleitet worden seien. Aus diesen Gründen sei die Einreise in die Schweiz nicht zu bewilligen und sein Asylgesuch abzulehnen.</w:t>
      </w:r>
    </w:p>
    <w:p>
      <w:r>
        <w:rPr>
          <w:b/>
        </w:rPr>
        <w:t>E. 5.2</w:t>
      </w:r>
    </w:p>
    <w:p>
      <w:r>
        <w:t>In seiner Rechtsmitteleingabe führt der Beschwerdeführer sinngemäss an, er werde, weil er Korruption in Lettland aufgedeckt habe, verfolgt. Er sei in allen Instanzen unterlegen. Man habe sogar versucht, seine Fahrerlaubnis zu entziehen. Dies habe er am (...) 2010 rückgängig machen können. Er habe Informationen zu bestimmten Personen, jedoch keine Beweise. Im Übrigen habe er zwei minderjährige Kinder, für die ein Umzug in ein fremdes Land nur in verantwortungsvoller Weise in Frage käme.</w:t>
      </w:r>
    </w:p>
    <w:p>
      <w:r>
        <w:rPr>
          <w:b/>
        </w:rPr>
        <w:t>E. 6</w:t>
      </w:r>
    </w:p>
    <w:p>
      <w:r>
        <w:t>Im Folgenden ist zu prüfen, ob das BFM zu Recht eine unmittelbare Gefahr im Sinne von Art. 20 AsylG verneint und die Einreise des Beschwerdeführers in die Schweiz verweigert hat. Den Angaben des Beschwerdeführers sowie den im erstinstanzlichen Verfahren eingereichten zahlreichen Beweismitteln kann entnommen werden, dass er in einem im Jahre 2005 gegen (...) eingeleiteten Strafverfahren zur Aufdeckung eines Bestechungsdelikts beigetragen hat (vgl. Akte A1). Am (...) 2008 wurden die Geschäftsräume der Firma des Beschwerdeführers durch die Wirtschaftspolizei der Stadt Riga durchsucht, in deren Folge gegen ihn ein Strafverfahren unter dem Vorwurf, unter Umgehung der lettischen Steuerbestimmungen auf die Lager- und Verbrauchsmenge von Alkohol (...) zu haben, eingeleitet wurde. Am (...) 2009 entschied die Staatsanwaltschaft zur Untersuchung von Finanz- und Wirtschaftsverbrechen, den Beschwerdeführer strafrechtlich zur Verantwortung zu ziehen (vgl. A3). Die von ihm eingereichten Anzeigen und Beschwerden wurden mit Entscheid des KNAB vom (...) 2010 und der Spezialisierten Staatsanwaltschaft gegen das organisierte Verbrechen und andere Verbrechensarten vom (...) 2010 abgewiesen. Der Beschwerdeführer sieht in dem gegen ihn eingeleiteten Strafverfahren einen Racheakt von Wirtschaftspolizisten wegen seines früheren Beitrags zur Aufdeckung eines Bestechungsdelikts. Dazu ist vorab festzustellen, dass Lettland ein Staat mit einer gefestigten Demokratie ist. Freiheit und Menschenrechte werden respektiert. Lettland ist denn auch Signatarstaat der Menschenrechtskonvention und der Genfer Flüchtlingskonvention. Zudem gewähren Verfassung und Gesetzgebung Lettlands allen Personen das Recht auf ein gerechtes Gerichtsverfahren, und die lettischen Gerichte können als unabhängig gelten. Bei Unregelmässigkeiten können sich Betroffene an eine Ombudsstelle wenden. Wie von der Vorinstanz zutreffend ausgeführt, ist Lettland auf dem internationalen Korruptionsindex der EU gegenwärtig zwar im unteren Drittel abgebildet. Jedoch hat die lettische Regierung zu deren Bekämpfung im Jahre 2009 verschiedene Antikorruptionsmassnahmen in die Wege geleitet, und bereits erste Erfolge - beispielsweise die Verurteilung von zwei Richtern - erzielt. Aus den vom Beschwerdeführer eingereichten Beweismitteln können keine Hinweise dafür entnommen werden, wonach das gegen ihn eingereichte Strafverfahren als Racheakt seitens der Wirtschaftspolizei für seine früheren Aussagen in einem Strafprozess als Zeuge gegen (...) anzusehen sei. Vielmehr ist die Wirtschaftspolizei nach der Durchsuchung seiner Geschäftsräume einem Verdacht nachgegangen, was jedoch nicht als unrechtmässiges Handeln angesehen werden kann. Dieses Vorgehen entspricht dem legitimen Anspruch eines Staates, vermutetes kriminelles Unrecht zu verfolgen, selbst wenn sich nachträglich ergibt, dass der Verdacht nicht gerechtfertigt war. Schliesslich kann sich der Beschwerdeführer zur Unterstützung seiner Anliegen an das Büro zur Vorbeugung und Bekämpfung der Korruption (KNAB) wenden, was er denn auch bereits getan hat. Den diesbezüglich eingereichten Unterlagen (Beschwerden an verschiedene Rekursinstanzen und Büros sowie diesbezügliche Antworten) kann im Übrigen entnommen werden, dass die Behörden die Einwände des Beschwerdeführers sorgfältig geprüft haben. Dabei wurden keine Unregelmässigkeiten seitens der Untersuchungsbehörden festgestellt und das gegen den Beschwerdeführer eingereichte Strafverfahren wurde als rechtmässig bezeichnet. Ferner vermag er mit dem auf Beschwerdeebene eingereichte Foto, das einen zu Unrecht verfügten Entzug seiner Fahrerlaubnis respektive die Rücksetzung dieses Entzugs beweisen soll, ebensowenig ein gegen ihn gerichtetes unrechtmässiges Tun der lettischen Behörden zu beweisen. Insgesamt deuten die eingereichten Unterlagen sowie die Aussagen des Beschwerdeführers auf ein rechtsstaatlich korrekt durchgeführtes Verfahren hin. Zudem steht ihm offen, seine Rechte - den Weiterzug eines allfälligen Strafurteils an obere Instanzen und allenfalls an juristische Instanzen der EU - unter Beizug eines Rechtsanwalts zu wahren. Jedenfalls liegen keine Hinweise dafür vor, wonach der Beschwerdeführer im heutigen Zeitpunkt asylrechtlich relevante Nachteile zu erwarten hätte.</w:t>
      </w:r>
    </w:p>
    <w:p>
      <w:r>
        <w:rPr>
          <w:b/>
        </w:rPr>
        <w:t>E. 7</w:t>
      </w:r>
    </w:p>
    <w:p>
      <w:r>
        <w:t>Nach dem Gesagten ist es dem Beschwerdeführer nicht gelungen, eine aktuelle Gefährdung aus asylrelevanten Motiven aufzuzeigen, welche die Bewilligung der Einreise in die Schweiz rechtfertigen würde. Insgesamt liegen somit keine überwiegenden Anhaltspunkte für eine Einreise in die Schweiz vor (vgl. EMARK 2005 Nr. 19 m.w.H.). Es erübrigt sich, auf weitere Vorbringen in der Beschwerde einzugehen, da diese am Ergebnis nichts zu ändern vermögen. Das Bundesamt hat somit zu Recht die Bewilligung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