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E-4076/2015 vom 6. Juli 2015</w:t>
      </w:r>
    </w:p>
    <w:p>
      <w:r>
        <w:t>Bundesverwaltungsgericht, 2015-07-06, DE</w:t>
      </w:r>
    </w:p>
    <w:p>
      <w:r>
        <w:rPr>
          <w:b/>
        </w:rPr>
        <w:t xml:space="preserve">Quelle: </w:t>
      </w:r>
      <w:r>
        <w:t>https://mcp.opencaselaw.ch/entscheid/bvger_E-4076_2015</w:t>
      </w:r>
    </w:p>
    <w:p>
      <w:r>
        <w:t>FR: TAF E-4076/2015 du 6 juillet 2015</w:t>
      </w:r>
    </w:p>
    <w:p>
      <w:r>
        <w:t>IT: TAF E-4076/2015 del 6 luglio 2015</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Die Vorinstanz erwägt in rechtlicher Hinsicht, eine Familienzusammenführung sei nur möglich, wenn die Flüchtlingseigenschaft der hier lebenden Person anerkannt sei, die Familiengemeinschaft vor der Trennung bestanden habe und die Familie durch die Flucht getrennt worden sei. Die Flucht sei mit der Ausreise aus dem Heimatstaat als abgeschlossen zu betrachten. Vorliegend sei die Hauptvoraussetzung von Art. 51 Abs. 4 AsylG "Trennung auf der Flucht" nicht gegeben. Das Paar habe sich nach der Flucht aus Eritrea länger in Sudan aufgehalten, dort eine gemeinsame Wohnung bezogen und geheiratet. Anschliessend sei der Beschwerdeführer abgereist und habe seine Frau in der gemeinsamen Wohnung zurück gelassen.</w:t>
      </w:r>
    </w:p>
    <w:p>
      <w:r>
        <w:rPr>
          <w:b/>
        </w:rPr>
        <w:t>E. 3.3</w:t>
      </w:r>
    </w:p>
    <w:p>
      <w:r>
        <w:t>Der Beschwerdeführer wendet gegen die vorinstanzliche Begründung ein, er habe zusammen mit seiner Frau entschieden, das Land zu verlassen. Zirka zwei Monate nach seiner Flucht sei auch seiner Frau die Flucht aus Eritrea gelungen und sie seien alsdann beide in Sudan gewesen. Das SEM erachte als Flucht die Ausreise aus dem Heimatstaat und lasse dabei völlig ausser Acht, dass die Situation in Sudan keineswegs besser sei, als diejenige in Eritrea.</w:t>
      </w:r>
    </w:p>
    <w:p>
      <w:r>
        <w:rPr>
          <w:b/>
        </w:rPr>
        <w:t>E. 3.4</w:t>
      </w:r>
    </w:p>
    <w:p>
      <w:r>
        <w:t>Die Schlussfolgerungen der Vorinstanz sind indes weder in tatsächlicher, noch in rechtlicher Hinsicht zu beanstanden. Zutreffend erkennt die Vorinstanz, dass die Tatbestandsvoraussetzung von Art. 51 Abs. 4 AsylG "Trennung auf der Flucht" nicht gegeben ist, womit sie das Gesuch zu Recht abgelehnt hat. Die Trennung der Gemeinschaft muss aufgrund der Fluchtumstände und somit unfreiwillig erfolgt sein, was vorliegend offensichtlich nicht der Fall ist (BVGE 2012/32 E. 5.4.2 mit Verweisen). Der Beschwerdeführer erklärt in seiner Rechtsmitteleingabe: "...zwei Monate nach meiner Flucht gelang auch ihr die Flucht aus Eritrea..." (Beschwerdeschrift S. 1). Somit ist eine Trennung auf der Flucht in zweierlei Hinsicht auszuschliessen. Einerseits fehlt es bereits an der gemeinsamen Flucht aus Eritrea und sodann ist der Beschwerdeführer nach längerem Aufenthalt aus Sudan alleine weitergereist. Die Vorinstanz verletzt folglich kein Bundesrecht, wenn sie die Erteilung einer Einreisebewilligung verweigert und das Gesuch um Einbeziehung in die Flüchtlingseigenschaft nach Art. 51 AsylG ablehnt. 4.Aus dem Gesagten ergibt sich, dass die angefochtene Verfügung Bundesrecht nicht verletzt und auch sonst nicht zu beanstanden ist. Die Beschwerde ist abzuweisen.</w:t>
      </w:r>
    </w:p>
    <w:p>
      <w:r>
        <w:rPr>
          <w:b/>
        </w:rPr>
        <w:t>E. 5.1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