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E-4073/2012 vom 29. Mai 2013</w:t>
      </w:r>
    </w:p>
    <w:p>
      <w:r>
        <w:t>Bundesverwaltungsgericht, 2013-05-29, DE</w:t>
      </w:r>
    </w:p>
    <w:p>
      <w:r>
        <w:rPr>
          <w:b/>
        </w:rPr>
        <w:t xml:space="preserve">Quelle: </w:t>
      </w:r>
      <w:r>
        <w:t>https://mcp.opencaselaw.ch/entscheid/bvger_E-4073_2012</w:t>
      </w:r>
    </w:p>
    <w:p>
      <w:r>
        <w:t>FR: TAF E-4073/2012 du 29 mai 2013</w:t>
      </w:r>
    </w:p>
    <w:p>
      <w:r>
        <w:t>IT: TAF E-4073/2012 del 29 maggio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Ausländerrechts betreffend die vorläufige Aufnahme endgültig (Art. 83 Bst. c Ziff. 3 des Bundesgerichtsgesetzes vom 17. Juni 2005 [BGG, SR 173.110]).Das Verfahren richtet sich nach dem VwVG, dem VGG und dem BGG, soweit das AsylG nichts anderes bestimmt (Art. 37 VGG und Art. 6 AsylG).</w:t>
      </w:r>
    </w:p>
    <w:p>
      <w:r>
        <w:rPr>
          <w:b/>
        </w:rPr>
        <w:t>E. 1.2</w:t>
      </w:r>
    </w:p>
    <w:p>
      <w:r>
        <w:t>Die Beschwerde ist frist- und formgerecht eingereicht (Art. 112 Abs. 1 des Bundesgesetzes vom 16. Dezember 2005 über die Ausländerinnen und Ausländer [AuG, SR 142.20] i.V.m. Art. 37 VGG sowie Art. 50 Abs. 1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112 Abs. 1 AuG i.V.m. Art. 37 VGG und Art. 48 Abs. 1 VwVG). Auf die Beschwerde ist einzutreten.</w:t>
      </w:r>
    </w:p>
    <w:p>
      <w:r>
        <w:rPr>
          <w:b/>
        </w:rPr>
        <w:t>E. 2</w:t>
      </w:r>
    </w:p>
    <w:p>
      <w:r>
        <w:t>Vorab ist betreffend den Streitgegenstand Folgendes festzuhalten: Das BFM hat mit Verfügungen vom 5. Dezember 2007 und 4. Juni 2008 die Asylgesuche der Beschwerdeführenden rechtskräftig abgewiesen und deren Flüchtlingseigenschaft verneint. Über die Wegweisung als solche ist ebenfalls rechtskräftig befunden worden. Die vorliegend angefochtene Verfügung befasst sich einzig mit dem Vollzug der Wegweisung, das heisst der Aufhebung der ursprünglich gewährten vorläufigen Aufnahme. Entsprechend kann nur dies Beschwerdegegenstand sein. Richtigerweise beantragen die Beschwerdeführenden auf Beschwerdeebene weder die Feststellung der Flüchtlingseigenschaft noch die Gewährung von Asyl. Soweit sie zur Begründung des Antrages auf Beibehaltung der vorläufigen Aufnahme - somit innerhalb des zulässigen Streitgegenstandes - geltend machen, dass sie aufgrund von Vor- und Nachfluchtgründen verfolgt seien und die gesetzlichen Kriterien der Flüchtlingseigenschaft erfüllten, kann dies im Rahmen der Prüfung der Zulässigkeit des Wegweisungsvollzugs grundsätzlich berücksichtigt werden.</w:t>
      </w:r>
    </w:p>
    <w:p>
      <w:r>
        <w:rPr>
          <w:b/>
        </w:rPr>
        <w:t>E. 3</w:t>
      </w:r>
    </w:p>
    <w:p>
      <w:r>
        <w:t>Mit Beschwerde kann die Verletzung von Bundesrecht, die unrichtige oder unvollständige Feststellung des rechtserheblichen Sachverhaltes und die Unangemessenheit gerügt werden (Art. 112 Abs. 1 AuG i.V.m. Art. 49 VwVG).</w:t>
      </w:r>
    </w:p>
    <w:p>
      <w:r>
        <w:rPr>
          <w:b/>
        </w:rPr>
        <w:t>E. 4.1</w:t>
      </w:r>
    </w:p>
    <w:p>
      <w:r>
        <w:t>Gemäss Art. 83 Abs. 1 AuG ist die vorläufige Aufnahme zu verfügen, wenn der Vollzug der Wegweisung nicht zulässig, nicht zumutbar oder nicht möglich ist. Das BFM überprüft periodisch, ob die Voraussetzungen für die vorläufige Aufnahme noch gegeben sind (Art. 84 Abs. 1 AuG). Wenn die Voraussetzungen nicht mehr gegeben sind, hebt das BFM die vorläufige Aufnahme auf und ordnet den Vollzug der Wegweisung an (Art. 84 Abs. 2 AuG). Die Voraussetzungen für die vorläufige Aufnahme fallen weg, wenn der Vollzug der rechtskräftig angeordneten Wegweisung zulässig ist und es der ausländischen Person zumutbar und möglich ist, sich rechtmässig in ihren Heimat-, in den Herkunfts- oder in einen Drittstaat zu begeben (Art. 83 Abs. 2-4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Auch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bildet im Rahmen der Zumutbarkeitsprüfung ausserdem das Kindeswohl einen Gesichtspunkt von vorrangiger Bedeutung (vgl. BVGE 2009/51 E. 5.6 S. 749, BVGE 2009/28 E. 9.3.2 S. 367 f.). Dies ergibt sich nicht zuletzt aus einer völkerrechtskonformen Auslegung von Art. 83 Abs. 4 AuG im Lichte von Art. 3 Abs. 1 des Übereinkommens vom 20. November 1989 über die Rechte des Kindes (KRK, SR 0.107) (vgl. dazu Entscheide und Mitteilungen der vormaligen Schweizerischen Asylrekurskommission [EMARK] 2005 Nr. 6 E. 6. S. 57 f.). In diesem Zusammenhang ist festzuhalten, dass unter dem Aspekt des Kindeswohls sämtliche Umstände einzubeziehen sind, die im Hinblick auf einen Wegweisungsvollzug wesentlich erscheinen (vgl. EMARK 1998 Nr. 13 E. 5e/aa). Der Persönlichkeit des Kindes und seinen Lebensumständen ist umfassend Rechnung zu tragen.</w:t>
      </w:r>
    </w:p>
    <w:p>
      <w:r>
        <w:rPr>
          <w:b/>
        </w:rPr>
        <w:t>E. 4.3.1</w:t>
      </w:r>
    </w:p>
    <w:p>
      <w:r>
        <w:t>Vorab ist deshalb die Situation des Beschwerdeführers zu prüfen, welcher zum Zeitpunkt seiner Einreise im Sommer 2007 (...)jährig war und gemäss Akten in der Schweiz gut integriert ist. Während Kindern in einem anpassungsfähigen Alter die Rückkehr in ihr Heimatland selbst nach einem mehrjährigen Aufenthalt im Gastland gemeinhin zugemutet werden kann, verlangt ein Wegweisungsvollzug eines langjährig anwesenden Adoleszenten eine differenzierte Betrachtung. Abzuwägen sind dabei vor allem die besonderen Bindungen, welche eine Person im Aufenthaltsstaat eingegangen ist, in dem sie massgeblich ihre Erziehung erhalten, den Grossteil der sozialen Kontakte geknüpft und ihre eigene Identität entwickelt hat. Die Gewichtung der Aufenthaltsdauer hat sodann der Intensität und Prägung des Aufenthalts Rechnung zu tragen. Die Verwurzelung in der Schweiz kann eine reziproke Wirkung auf die Frage der Zumutbarkeit des Wegweisungsvollzugs haben, indem eine starke Assimilierung in der Schweiz eine Entwurzelung im Heimatstaat zur Folge haben kann, welche unter Umständen eine Rückkehr dorthin als unzumutbar erscheinen lässt (vgl. BVGE 2009/28 E. 9.3.2 sowie die vom Bundesverwaltungsgericht übernommene Praxis der vormaligen Schweizerischen Asylrekurskommission [ARK] in EMARK 2006 Nr. 24 E. 6.2.3 S. 259 f., EMARK 2005 Nr. 6 E. 6. S. 55 ff., je mit weiteren Hinweisen). Der (...)-jährige, adoleszente Beschwerdeführer hat die letzten sechs, prägenden Jahre in der Schweiz verbracht und ebenso lang die Schule, zuletzt die Sekundarschule besucht. Der Schulabschluss und die Berufswahl stehen gemäss Rechtsmitteleingabe kurz bevor. Das Vorbringen, er beherrsche Deutsch besser als Tamilisch, und er habe Probleme, letzteres zu schreiben, ist nachvollziehbar. Es kann festgestellt werden, dass er den für die Persönlichkeit wesentlichen Teil der Sozialisierung in der hiesigen Kultur erlebt hat. Aus den Akten geht überdies nicht hervor, dass er während seines Aufenthaltes in der Schweiz eine mit den hiesigen Bindungen vergleichbare Beziehung zu Bezugspersonen im Heimatland unterhalten hätte, zumal sich sein Vater ebenfalls seit Ende 2008 hier aufhält. In der Schweiz leben zudem weitere Verwandte, darunter ein Onkel und eine Tante mütterlicherseits. Bei einem Wegweisungsvollzug zum heutigen Zeitpunkt ist davon auszugehen, dass dieser eine Entwurzelung zur Folge hätte, welche aufgrund der sich abzeichnenden Problematik einer Reintegration in eine fremd gewordene Kultur und Umgebung als gegen das Kindswohl sprechend qualifiziert werden müsste. Nach dem Gesagten erachtet das Bundesverwaltungsgericht den Wegweisungsvollzug des Beschwerdeführers somit als nicht zumutbar.</w:t>
      </w:r>
    </w:p>
    <w:p>
      <w:r>
        <w:rPr>
          <w:b/>
        </w:rPr>
        <w:t>E. 4.3.2</w:t>
      </w:r>
    </w:p>
    <w:p>
      <w:r>
        <w:t>Nachdem der Beschwerdeführer aufgrund Unzumutbarkeit des Wegweisungsvollzugs in der Schweiz vorläufig aufzunehmen ist, sind seine Mutter und die Schwester in Beachtung des Grundsatzes der Einheit der Familie (Art. 44 Abs. 1 AsylG; EMARK 1995 Nr. 24) praxisgemäss in die vorläufige Aufnahme des Sohnes einzubeziehen.</w:t>
      </w:r>
    </w:p>
    <w:p>
      <w:r>
        <w:rPr>
          <w:b/>
        </w:rPr>
        <w:t>E. 4.4</w:t>
      </w:r>
    </w:p>
    <w:p>
      <w:r>
        <w:t>Zusammenfassend qualifiziert das Bundesverwaltungsgericht die Rückkehr der Beschwerdeführenden nach Sri Lanka als nach wie vor unzumutbar. Nachdem (weiterhin) keine Ausschlussgründe im Sinn von Art. 83 Abs. 7 AuG vorliegen, ist ihre vorläufige Aufnahme in der Schweiz zu bestätigen.</w:t>
      </w:r>
    </w:p>
    <w:p>
      <w:r>
        <w:rPr>
          <w:b/>
        </w:rPr>
        <w:t>E. 5</w:t>
      </w:r>
    </w:p>
    <w:p>
      <w:r>
        <w:t>Entsprechend ist die Beschwerde gutzuheissen und die vorinstanzliche Verfügung vom 28. Februar 2012 aufzuheben. Die vorläufige Aufnahme der Beschwerdeführenden ist zu belassen.</w:t>
      </w:r>
    </w:p>
    <w:p>
      <w:r>
        <w:rPr>
          <w:b/>
        </w:rPr>
        <w:t>E. 6.1</w:t>
      </w:r>
    </w:p>
    <w:p>
      <w:r>
        <w:t>Bei diesem Ausgang des Verfahrens sind keine Verfahrenskosten aufzuerlegen (vgl. Art. 63 Abs. 1 und 2 VwVG). Der von den Beschwerdeführenden am 28. August 2012 überwiesene Kostenvorschuss von Fr. 600.- ist ihnen vom Gericht zurückzuerstatten.</w:t>
      </w:r>
    </w:p>
    <w:p>
      <w:r>
        <w:rPr>
          <w:b/>
        </w:rPr>
        <w:t>E. 6.2</w:t>
      </w:r>
    </w:p>
    <w:p>
      <w:r>
        <w:t>Den obsiegenden und rechtsvertretenen Beschwerdeführenden ist zulasten der Vorinstanz eine Parteientschädigung für die ihnen erwachsenen notwendigen Kosten zuzusprechen (vgl. Art. 64 Abs. 1 VwVG, Art. 7 des Reglements vom 21. Februar 2008 über die Kosten und Entschädigungen vor dem Bundesverwaltungsgericht [VGKE, SR 173.320.0]). Seitens der Rechtsvertretung wurde keine Kostennote zu den Akten gereicht, weshalb der notwendige Vertretungsaufwand von Amtes wegen festzusetzen ist (vgl. Art. 14 Abs. 2 VGKE). In Anwendung der genannten Bestimmungen und unter Berücksichtigung der massgeblichen Bemessungsfaktoren (vgl. Art. 8 ff. VGKE) ist die von der Vorinstanz auszurichtende Parteientschädigung demnach auf insgesamt Fr. 1000.-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