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E-4071/2018 vom 5. Februar 2020</w:t>
      </w:r>
    </w:p>
    <w:p>
      <w:r>
        <w:t>Bundesverwaltungsgericht, 2020-02-05, DE</w:t>
      </w:r>
    </w:p>
    <w:p>
      <w:r>
        <w:rPr>
          <w:b/>
        </w:rPr>
        <w:t xml:space="preserve">Quelle: </w:t>
      </w:r>
      <w:r>
        <w:t>https://mcp.opencaselaw.ch/entscheid/bvger_E-4071_2018</w:t>
      </w:r>
    </w:p>
    <w:p>
      <w:r>
        <w:t>FR: TAF E-4071/2018 du 5 février 2020</w:t>
      </w:r>
    </w:p>
    <w:p>
      <w:r>
        <w:t>IT: TAF E-4071/2018 del 5 febbraio 2020</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2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Gegenstand des vorliegenden Verfahrens bilden die Frage des Einbezugs der Beschwerdeführerin in die Flüchtlingseigenschaft ihres Ehemannes und die Wegweisung nach Italien. Das Nichteintreten auf das Asylgesuch (Ziffer 1 der angefochtenen Verfügung) ist - wie bereits in der Zwischenverfügung vom 19. Juli 2018 festgestellt - mangels Anfechtung in Rechtskraft erwachsen.</w:t>
      </w:r>
    </w:p>
    <w:p>
      <w:r>
        <w:rPr>
          <w:b/>
        </w:rPr>
        <w:t>E. 5</w:t>
      </w:r>
    </w:p>
    <w:p>
      <w:r>
        <w:t>Bezüglich der gerügten Verletzung des Anspruchs auf rechtliches Gehör respektive Verletzung des Akteneinsichtsrechts ist festzuhalten, dass die Vorinstanz den Anspruch der Beschwerdeführerin auf rechtliches Gehör insofern verletzt hat, als sie ihr Akteneinsichtsgesuch nicht behandelte. Dieser Mangel wurde auf Beschwerdeebene mit der Gewährung der Einsicht in die Akten und der Ansetzung einer Frist zur Stellungnahme geheilt.</w:t>
      </w:r>
    </w:p>
    <w:p>
      <w:r>
        <w:rPr>
          <w:b/>
        </w:rPr>
        <w:t>E. 6.1</w:t>
      </w:r>
    </w:p>
    <w:p>
      <w:r>
        <w:t>Gemäss Art. 51 Abs. 1 AsylG werden Ehegatten von Flüchtlingen und ihre minderjährigen Kinder als Flüchtlinge anerkannt, wenn keine besonderen Umstände dagegensprechen.</w:t>
      </w:r>
    </w:p>
    <w:p>
      <w:r>
        <w:rPr>
          <w:b/>
        </w:rPr>
        <w:t>E. 6.2</w:t>
      </w:r>
    </w:p>
    <w:p>
      <w:r>
        <w:t>Das Bundesverwaltungsgericht kam im Urteil E-6880/2014 vom 29. November 2017 zum Schluss, es liege ein besonderer Umstand im Sinne von Art. 51 Abs. 1 AsylG vor, der einem Einbezug in die Flüchtlingseigenschaft und einer Gewährung von Familienasyl entgegenstehe, wenn die Person, die einbezogen werden möchte, in einem anderen Staat bereits Schutz vor Verfolgung gefunden habe (vgl. a.a.O. E. 4.3.2 m.w.H.). Im Grundsatzurteil E-4639/2017 vom 25. September 2019 (zur Publikation vorgesehen) stellte das Gericht fest, dass sich der Familiennachzug für eine bereits in einem sicheren Drittstaat als Flüchtling anerkannte Person nicht nach der asylrechtlichen Bestimmung von Art. 51 AsylG, sondern nach den ausländerrechtlichen Regeln richtet (a.a.O. E 5.7).</w:t>
      </w:r>
    </w:p>
    <w:p>
      <w:r>
        <w:rPr>
          <w:b/>
        </w:rPr>
        <w:t>E. 6.3</w:t>
      </w:r>
    </w:p>
    <w:p>
      <w:r>
        <w:t>Die Vorinstanz begründete ihren Entscheid in Bezug auf das Gesuch um Einbezug in die Flüchtlingseigenschaft damit, dass die Beschwerdeführerin in Italien als Flüchtling anerkannt sei und über eine Aufenthaltsbewilligung verfüge, die sie erneuern beziehungsweise verlängern lassen könne. Sie könne somit jederzeit nach Italien zurückkehren. Dieses Aufenthaltsrecht und der bereits gewährte Schutzstatus würden besondere Umstände darstellen, welche gegen einen Einbezug in die Flüchtlingseigenschaft des Ehemannes sprechen würden. Die Aufenthaltsbewilligung der Beschwerdeführerin in Italien berechtige sodann auch zum Familiennachzug. Es stehe ihr frei, in Italien um Familienzusammenführung zu ersuchen. Die Beschwerdeführerin habe ihren internationalen Schutzstatus als Flüchtling in Italien bereits seit dem Jahr 2013 und somit mehr als vier Jahre vor der vorläufigen Aufnahme ihres Mannes und ihrer Kinder als Flüchtlinge in der Schweiz erhalten. Schliesslich würden der Ehemann der Beschwerdeführerin und ihre Kinder in der Schweiz lediglich über eine vorläufige Aufnahme als Flüchtlinge und somit über einen geringeren Schutzstatus als sie selbst in Italien verfügen. Daran vermöchte auch nichts zu ändern, dass das Leben in Italien schwer sei und sie befürchten würde, dass ihre Kinder in Italien ohne Obdach seien. Die Voraussetzungen gemäss Art. 51 Abs. 1 AsylG seien somit nicht erfüllt, weshalb die Beschwerdeführerin nicht in die Flüchtlingseigenschaft ihres Ehemannes einbezogen werden könne.</w:t>
      </w:r>
    </w:p>
    <w:p>
      <w:r>
        <w:rPr>
          <w:b/>
        </w:rPr>
        <w:t>E. 6.4</w:t>
      </w:r>
    </w:p>
    <w:p>
      <w:r>
        <w:t>In der Rechtsmitteleingabe macht die Beschwerdeführerin geltend, in ihrem Fall lägen besondere Gründe vor, die gegen das Vorliegen eines besonderen Umstandes im Sinne von Art. 51 Abs. 1 AsylG sprechen würden. Sie sei zwar in Italien als Flüchtling anerkannt, doch habe sie weder Sozialhilfe noch ein Obdach erhalten. Aus diesen Gründen habe sie auch keine Schritte für eine Familienvereinigung in Italien unternommen. Die Wegweisung widerspreche nicht nur dem Recht auf Familienleben gemäss Art. 8 EMRK, sondern verstosse auch gegen Art. 3 Abs. 1 KRK.</w:t>
      </w:r>
    </w:p>
    <w:p>
      <w:r>
        <w:rPr>
          <w:b/>
        </w:rPr>
        <w:t>E. 6.5</w:t>
      </w:r>
    </w:p>
    <w:p>
      <w:r>
        <w:t>Die Beschwerdeführerin wurde in Italien, mithin einem sicheren Drittstaat, als Flüchtling anerkannt und geniesst dort Schutz. Sie ist insofern nicht auf den Schutz angewiesen, welcher ihr durch Anerkennung der Flüchtlingseigenschaft - die sie bereits besitzt - und Gewährung von Familienasyl gestützt auf Art. 51 Abs. 1 AsylG in der Schweiz zukommen würde. Demnach hat die Vorinstanz zu Recht festgestellt, es liege ein besonderer Umstand gemäss Art. 51 Abs. 1 AsylG vor, welcher dem Einbezug der Beschwerdeführerin in die Flüchtlingseigenschaft ihres Ehemannes entgegensteht. Wenn die Voraussetzungen von Art. 51 AsylG nicht erfüllt sind, kann die Bestimmung von Art. 8 EMRK nicht ergänzend angewendet werden, ebenso wenig vermögen die Bestimmungen der KRK etwas zu ändern. Schliesslich hat die Vorinstanz in der angefochtenen Verfügung nachvollziehbar und hinreichend differenziert aufgezeigt, von welchen Überlegungen sie sich leiten liess. Da es der Beschwerdeführerin offensichtlich ohne weiteres möglich war, die angefochtene Verfügung sachgerecht anzufechten, ist die Rüge der Verletzung der Begründungspflicht unberechtigt.</w:t>
      </w:r>
    </w:p>
    <w:p>
      <w:r>
        <w:rPr>
          <w:b/>
        </w:rPr>
        <w:t>E. 7</w:t>
      </w:r>
    </w:p>
    <w:p>
      <w:r>
        <w:t>Nachdem die Regeln des asylrechtlichen Familiennachzugs nicht zur Anwendung kommen, ist ein Gesuch der Beschwerdeführerin um Familienzusammenführung nach den Bestimmungen des Ausländerrechts zu prüfen. Von der Beschwerdeführerin und ihrem Ehemann kann verlangt werden, dass sie nach Erfüllung der gesetzlichen Voraussetzungen das dafür vorgesehene Verfahren gemäss Art. 85 Abs. 7 AIG und Art. 74 der Verordnung vom 24. Oktober 2007 über Zulassung, Aufenthalt und Erwerbstätigkeit (VZAE, SR 142.201) bei der zuständigen kantonalen Behörde einleiten (vgl. Urteile des BVGer D-6158/2019 vom 28. November 2019, D-4663/2017 vom 13. Juni 2018 E. 5.2 und D-2673/2017 vom 16. Mai 2017 E. 5.2.5). Bei dieser Sachlage entfällt die Zuständigkeit des SEM für die Anordnung der Wegweisung im Rahmen eines Asylverfahrens. Die angefochtene Verfügung ist demnach in Bezug auf die Wegweisung und den Wegweisungsvollzug aufzuheben.</w:t>
      </w:r>
    </w:p>
    <w:p>
      <w:r>
        <w:rPr>
          <w:b/>
        </w:rPr>
        <w:t>E. 8</w:t>
      </w:r>
    </w:p>
    <w:p>
      <w:r>
        <w:t>Aus diesen Erwägungen ergibt sich, dass das SEM die Voraussetzungen von Art. 51 AsylG zu Recht als nicht erfüllt erachtete. Diesbezüglich ist die Beschwerde abzuweisen. In Bezug auf die Anordnung der Wegweisung und des Wegweisungsvollzugs ist die Beschwerde indes gutzuheissen.</w:t>
      </w:r>
    </w:p>
    <w:p>
      <w:r>
        <w:rPr>
          <w:b/>
        </w:rPr>
        <w:t>E. 9.1</w:t>
      </w:r>
    </w:p>
    <w:p>
      <w:r>
        <w:t>Bei diesem Ausgang des Verfahrens ist von einem hälftigen Unterliegen der Beschwerdeführerin auszugehen. Ihr wären daher grundsätzlich die hälftigen Kosten aufzuerlegen (Art. 63 Abs. 1 VwVG). Da die Beschwerde aber nicht als aussichtslos zu bezeichnen war, sind die Gesuche um Gewährung der unentgeltlichen Prozessführung (Art. 65 Abs. 1 VwVG) und der amtlichen Verbeiständung (aArt. 110a AsylG) gutzuheissen. Es sind keine Verfahrenskosten zu erheben.</w:t>
      </w:r>
    </w:p>
    <w:p>
      <w:r>
        <w:rPr>
          <w:b/>
        </w:rPr>
        <w:t>E. 9.2</w:t>
      </w:r>
    </w:p>
    <w:p>
      <w:r>
        <w:t>Der Beschwerdeführerin ist angesichts ihres hälftigen Obsiegens in Anwendung von Art. 64 Abs. 1 VwVG i.V.m. Art. 7 Abs. 1 des Reglements über die Kosten und Entschädigungen vor dem Bundesverwaltungsgericht vom 21. Februar 2008 (VGKE, SR 173.320.2) eine entsprechend reduzierte Entschädigung für die ihr notwendigerweise erwachsenen Parteikosten zuzusprechen. Die Rechtsvertreterin reichte eine Honorarnote ein und machte einen Aufwand von acht Stunden zu einem Stundenansatz von Fr. 200.- und eine Pauschale für Auslagen in der Höhe von Fr. 20.- geltend. Der zeitliche Aufwand erscheint leicht zu hoch und ist auf sieben Stunden zu kürzen. Die reduzierte Parteientschädigung ist somit vorliegend auf Fr. 710.- (inkl. die Hälfte der Auslagen) festzusetzen. Dieser Betrag ist der Beschwerdeführerin durch die Vorinstanz zu entrichten.</w:t>
      </w:r>
    </w:p>
    <w:p>
      <w:r>
        <w:rPr>
          <w:b/>
        </w:rPr>
        <w:t>E. 9.3</w:t>
      </w:r>
    </w:p>
    <w:p>
      <w:r>
        <w:t>Soweit die Beschwerdeführerin demgegenüber hälftig unterliegt, ist ihrer Rechtsvertreterin für ihre Aufwendungen im Beschwerdeverfahren ein Honorar zu Lasten der Gerichtskasse auszurichten. Bei amtlicher Vertretung geht das Gericht in der Regel von einem Stundenansatz von Fr. 100.- bis Fr. 150.- für nicht-anwaltliche Vertreterinnen und Vertreter aus (vgl. Art. 12 i.V.m. Art. 10 Abs. 2 VGKE), wobei nur der notwendige Aufwand zu entschädigen ist (vgl. Art. 8 Abs. 2 VGKE). Der in der Kostennote angegebene Stundenansatz von Fr. 200.- ist entsprechend auf Fr. 150.- zu reduzieren. Der Rechtsvertreterin ist demnach ein amtliches Honorar in der Höhe von Fr. 535.- (inkl. die Hälfte der Auslagen) zulasten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