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E-4070/2010 vom 1. Dezember 2010</w:t>
      </w:r>
    </w:p>
    <w:p>
      <w:r>
        <w:t>Bundesverwaltungsgericht, 2010-12-01, DE</w:t>
      </w:r>
    </w:p>
    <w:p>
      <w:r>
        <w:rPr>
          <w:b/>
        </w:rPr>
        <w:t xml:space="preserve">Quelle: </w:t>
      </w:r>
      <w:r>
        <w:t>https://mcp.opencaselaw.ch/entscheid/bvger_E-4070_2010</w:t>
      </w:r>
    </w:p>
    <w:p>
      <w:r>
        <w:t>FR: TAF E-4070/2010 du 1 décembre 2010</w:t>
      </w:r>
    </w:p>
    <w:p>
      <w:r>
        <w:t>IT: TAF E-4070/2010 del 1 dicembre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Beschwerden werden gutgeheissen.</w:t>
      </w:r>
    </w:p>
    <w:p>
      <w:r>
        <w:rPr>
          <w:b/>
        </w:rPr>
        <w:t>E. 2</w:t>
      </w:r>
    </w:p>
    <w:p>
      <w:r>
        <w:t>Die Verfügungen vom 3. Mai 2010 werden aufgehoben und die Sache wird zur vollständigen und richtigen Feststellung des Sachverhalts und anschliessenden Neubeurteilung an das BFM zurückgewiesen.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Das BFM hat den Beschwerdeführenden für das Rechtsmittelverfahren eine Parteientschädigung von 3786.60 zu entrichten.</w:t>
      </w:r>
    </w:p>
    <w:p>
      <w:r>
        <w:rPr>
          <w:b/>
        </w:rPr>
        <w:t>E. 5</w:t>
      </w:r>
    </w:p>
    <w:p>
      <w:r>
        <w:t>Dieses Urteil geht an die Beschwerdeführenden, das BFM und die zu-ständige kantonale Behörde.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