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E-406/2020 vom 22. Oktober 2024</w:t>
      </w:r>
    </w:p>
    <w:p>
      <w:r>
        <w:t>Bundesverwaltungsgericht, 2024-10-22, DE</w:t>
      </w:r>
    </w:p>
    <w:p>
      <w:r>
        <w:rPr>
          <w:b/>
        </w:rPr>
        <w:t xml:space="preserve">Quelle: </w:t>
      </w:r>
      <w:r>
        <w:t>https://mcp.opencaselaw.ch/entscheid/bvger_E-406_2020</w:t>
      </w:r>
    </w:p>
    <w:p>
      <w:r>
        <w:t>FR: TAF E-406/2020 du 22 octobre 2024</w:t>
      </w:r>
    </w:p>
    <w:p>
      <w:r>
        <w:t>IT: TAF E-406/2020 del 22 ottobre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geltende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E-406/2020 Seite 5</w:t>
      </w:r>
    </w:p>
    <w:p>
      <w:r>
        <w:rPr>
          <w:b/>
        </w:rPr>
        <w:t>E. 2</w:t>
      </w:r>
    </w:p>
    <w:p>
      <w:r>
        <w:t>Die Kognition des Bundesverwaltungsgerichts und die zulässigen Rügen richten sich im Asylbereich nach Art. 106 Abs. 1 AsylG (vgl. BVGE 2014/26 E. 5).</w:t>
      </w:r>
    </w:p>
    <w:p>
      <w:r>
        <w:rPr>
          <w:b/>
        </w:rPr>
        <w:t>E. 3.1</w:t>
      </w:r>
    </w:p>
    <w:p>
      <w:r>
        <w:t>Zur Begründung seiner Verfügung führte das SEM aus, es würden zwar weder der geltend gemachte Dienst im zivilen Teil des Nationaldienstes noch die sechsmonatige Haft im Jahre 2013 in Abrede gestellt. Das Vor- bringen, aufgrund des Vorwurfs, der Pfingstgemeine anzugehören, erneut inhaftiert und aus der Haft entflohen zu sein, habe er aber nicht glaubhaft machen können. Im Hinblick darauf, dass er geltend mache, schon immer regelmässig gebetet, religiöse Lieder gesungen, in der Bibel gelesen und eine orthodoxe Kirche besucht zu haben, erstaune es, dass er dieses plötz- liche Interesse der Behörden und das Beobachten seiner Person aus- schliesslich abstrakt und ohne jeglichen persönlichen Bezug darlege. In Bezug auf die Festnahme habe er lediglich erklärt, zuvor durch das Fenster beobachtet worden zu sein. Damit seien diese Ausführungen äusserst knapp und oberflächlich ausgefallen. In Anbetracht der zentralen Bedeu- tung dieses Vorfalles, wäre aber gerade hier – auch ohne wiederholte und explizite Aufforderung, detailliert und ausführlich zu berichten – ein an- schaulicher und lebensnaher Bericht der persönlichen Erlebnisse zu erwar- ten gewesen. Es bestünden daher erste Zweifel an der Glaubhaftigkeit die- ser Vorbringen, welche durch die Aussagen zur geltend gemachten Haft nicht ausgeräumt werden könnten. Es sei unbestritten, dass er durch die erste Haft über Kenntnisse zu den Haftmodalitäten verfüge. Es sei jedoch auffallend, dass seine Äusserungen zur zweiten Inhaftierung annähernd flächendeckend zu denjenigen der ersten Haft ausgefallen seien. Gerade weil er geltend mache, zweimal im selben Gefängnis inhaftiert worden zu sein, wäre zu erwarten gewesen, dass er differenzierte Angaben zu den einzelnen Festhaltungen machen und diese einander anschaulich gegen- überstellen könne. Die Aussage, im Rahmen des Toilettengangs entflohen zu sein, sei überdies stereotyp. Die Flucht selber habe er lediglich mit den Worten beschrieben, sich nach hinten bewegt und vom Platz entfernt zu haben. Es fehle folglich auch diesen Schilderungen an Substanz und per- sönlichem Bezug. Die Oberflächlichkeit in den Aussagen zur geltend ge- machten zweiten Verfolgung sei im Übrigen nicht auf seine Erzählweise zurückzuführen, zumal die Schilderung der ersten Haftzeit durchaus Real- kennzeichen enthielten. Die Aussagen zu den Geschehnissen nach seiner Ausreise seien ebenfalls pauschal, stereotyp und damit unglaubhaft aus- gefallen. Er habe die Flucht aus der Haft und die damit einhergehende</w:t>
      </w:r>
    </w:p>
    <w:p>
      <w:r>
        <w:t>E-406/2020 Seite 6 Desertion somit nicht glaubhaft machen können, weshalb davon auszuge- hen sei, dass er seinen Dienst unter anderen Umständen verlassen habe. Aufgrund seiner Auflehnung gegen die Bewaffnung, die darauffolgende In- haftierung sowie der illegalen Ausreise sei ihm jedoch die Flüchtlingseigen- schaft zu gewähren. Da er aber die relevante Bedrohungslage im Zusam- menhang mit der Dienstpflicht erst mit der illegalen Ausreise geschaffen habe, sei er nach Art. 54 AsylG wegen subjektiven Nachfluchtgründen von der Asylgewährung auszuschliessen.</w:t>
      </w:r>
    </w:p>
    <w:p>
      <w:r>
        <w:rPr>
          <w:b/>
        </w:rPr>
        <w:t>E. 3.2</w:t>
      </w:r>
    </w:p>
    <w:p>
      <w:r>
        <w:t>Der Beschwerdeführer hielt dem in seiner Beschwerdeschrift entge- gen, es treffe zwar zu, dass er seinen Glauben bereits vor der ersten In- haftierung ausgelebt habe, erst nach der Entlassung habe er aber als re- gimefeindliche Person gegolten und im Fokus der Behörden gestanden. Dass es diesen missfallen habe, dass bei ihm Versammlungen stattgefun- den hätten, erscheine plausibel. Er habe erläutert, was ihm vorgeworfen worden sei und den Grund genannt, weshalb er denke, verhaftet worden zu sein. Er könne lediglich wiedergeben, was ihm die Behörden als Grund angegeben hätten. Ob diese Begründung nachvollziehbar erscheine, könne er nicht beantworten. Die Vorinstanz setze aber diesbezüglich un- zulässigerweise voraus, dass er die willkürliche Vorgehensweise des erit- reischen Regimes nachvollziehbar erklären könne. In Bezug auf die Fest- nahme habe er erklärt, wo er sich in diesem Moment befunden habe, was er zu diesem Zeitpunkt gemacht habe, dass die Behörden zu seinem Fens- ter hineingeschaut hätten und was er mit diesen gesprochen habe. Das SEM habe daraufhin nicht weiter nachgefragt und das Thema gewechselt. Entgegen der Vorinstanz habe er auch die Haftzeit ab (…) 2014 lebensnah, widerspruchsfrei und detailliert geschildert. Er habe auch diesbezüglich Gedankengänge beziehungsweise Überlegungen wiedergegeben. Zudem treffe es keineswegs zu, dass er betreffend die erste und die zweite Haft ähnliche Aussagen getätigt habe. So habe er unterschiedliche Angaben zu den Zellen und den erlittenen Misshandlungen gemacht. Diese Aussagen würden auch durch den EASO-Bericht (European Asylum Support Office), vom 11. August 2015 bestätigt, wonach Häftlinge insbesondere gefoltert würden, um von ihnen ein Geständnis zu erzwingen, und Folter nicht nur bei Regierungsgegnern, sondern auch bei Angehörigen religiöser Minder- heiten angewendet werde. Auch die Flucht aus dem Gefängnis habe er detailliert und lebensnah geschildert und dargelegt, dass er sich diese län- gere Zeit überlegt, die Gelegenheit sich schlussendlich aber spontan erge- ben habe. In Bezug auf die Suche nach ihm habe er nicht mehr wiederge- ben können als das, was seine Familie ihm mitgeteilt habe.</w:t>
      </w:r>
    </w:p>
    <w:p>
      <w:r>
        <w:t>E-406/2020 Seite 7 Somit sei es ihm gelungen, seine Desertion glaubhaft zu machen. Es er- scheint zudem äusserst unwahrscheinlich, dass er als junger und gesunder Mann sowie in den Augen der Behörden regimekritische Person vom Dienst freigestellt worden wäre. Ein solches Vorgehen entspreche nicht der bekannten Vorgehensweise des eritreischen Regimes gegenüber misslie- bigen Personen.</w:t>
      </w:r>
    </w:p>
    <w:p>
      <w:r>
        <w:rPr>
          <w:b/>
        </w:rPr>
        <w:t>E. 3.3</w:t>
      </w:r>
    </w:p>
    <w:p>
      <w:r>
        <w:t>In ihrer Vernehmlassung hielt die Vorinstanz fest, die Beschwerde- schrift enthalte keine neuen erheblichen Tatsachen oder Beweismittel, wel- che eine Änderung ihres Standpunktes rechtfertigen könnten. Es sei ledig- lich anzumerken, dass die vom Beschwerdeführer glaubhaft geschilderte illegale Ausreise nicht auf die Glaubhaftigkeit der Flucht aus dem Gefäng- nis beziehungsweise eine Desertion schliessen lasse.</w:t>
      </w:r>
    </w:p>
    <w:p>
      <w:r>
        <w:rPr>
          <w:b/>
        </w:rPr>
        <w:t>E. 3.4</w:t>
      </w:r>
    </w:p>
    <w:p>
      <w:r>
        <w:t>Darauf replizierte der Beschwerdeführer, die Vorinstanz mache es sich mit der Standardbehauptung, die Beschwerdeschrift enthalte keine neuen und erheblichen Tatsachen oder Beweismittel, sehr einfach. Auf eine ernst- hafte Auseinandersetzung mit den in der Beschwerdeschrift widerlegten Behauptungen der Vorinstanz werde sogar gänzlich verzichtet. Wie bereits in der Beschwerdeschrift vorgebracht, sei es ihm zweifelsohne gelungen, sämtliche Vorbringen – auch seine Desertion aus dem Nationaldienst – glaubhaft darzulegen, weshalb ihm in der Schweiz Asyl zu gewähren sei. Ergänzend sei festzuhalten, dass er nicht „nur" wegen der erfolgten Deser- tion, sondern zusätzlich auch wegen des Umstands, dass die eritreischen Behörden davon ausgingen, dass er ein Mitglied der Pfingstgemeinde sei, in seinem Heimatland mit einer asylrelevanten Verfolgung zu rechnen habe.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w:t>
      </w:r>
    </w:p>
    <w:p>
      <w:r>
        <w:t>E-406/2020 Seite 8 Furcht haben, solchen Nachteilen ausgesetzt zu werden, wobei die Einhal- tung des Abkommens vom 28. Juli 1951 über die Rechtsstellung der Flüchtlinge (FK, SR 0.142.30)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4.4</w:t>
      </w:r>
    </w:p>
    <w:p>
      <w:r>
        <w:t>Das Bundesverwaltungsgericht hat die Anforderungen an das Glaub- haftmachen der Vorbringen in verschiedenen Entscheiden dargelegt und folgt dabei ständiger Praxis. Darauf kann hier verwiesen werden (vgl. BVGE 2015/3 E. 6.5.1 m.w.H.).</w:t>
      </w:r>
    </w:p>
    <w:p>
      <w:r>
        <w:rPr>
          <w:b/>
        </w:rPr>
        <w:t>E. 5.1</w:t>
      </w:r>
    </w:p>
    <w:p>
      <w:r>
        <w:t>Die Vorinstanz stellt nicht in Abrede, dass der Beschwerdeführer als (…) im Rahmen des Nationaldienstes tätig war und im Jahr 2013 für sechs Monate inhaftiert wurde, nachdem er sich über die schwierige Arbeitssitu- ation insbesondere aufgrund der Doppelbelastung durch seine (…) Arbeit und den nächtlichen Wachdienst mit Waffe beschwert hatte. Hingegen befand das SEM nicht für glaubhaft, dass der Beschwerdeführer nach der Entlassung aus der ersten Haft verdächtigt worden sei, der Pfingstgemeinde anzugehören und für diese Mitglieder anzuwerben, des- halb erneut inhaftiert worden und aus dem Gefängnis geflohen, mithin de- sertiert sei. Es sei vielmehr davon auszugehen, dass er seinen Dienst unter anderen als den geltend gemachten Umständen verlassen habe. Der Be- schwerdeführer erfülle dennoch die Flüchtlingseigenschaft gemäss Art. 3 AsylG, da im Hinblick auf seine Auflehnung gegen eine Bewaffnung und die darauffolgende sechsmonatige Haft in Kombination mit einer illegalen Ausreise Anhaltspunkte bestünden, die ihn im Fall einer Rückführung nach Eritrea in den Augen des eritreischen Regimes als missliebige Person er- scheinen lassen könnten.</w:t>
      </w:r>
    </w:p>
    <w:p>
      <w:r>
        <w:rPr>
          <w:b/>
        </w:rPr>
        <w:t>E. 5.2</w:t>
      </w:r>
    </w:p>
    <w:p>
      <w:r>
        <w:t>Nach Durchsicht der Akten ist festzustellen, dass die vorinstanzlichen Schlussfolgerungen hinsichtlich der Desertion aus dem Nationaldienst ei- ner näheren Prüfung nicht standhalten. Ob die Vorbringen des Beschwer- deführers zum Vorwurf der Zugehörigkeit zur Pfingstgemeinde und zur</w:t>
      </w:r>
    </w:p>
    <w:p>
      <w:r>
        <w:t>E-406/2020 Seite 9 zweiten Inhaftierung als glaubhaft einzustufen sind, kann mit Blick auf die nachfolgenden Ausführungen offen bleiben.</w:t>
      </w:r>
    </w:p>
    <w:p>
      <w:r>
        <w:rPr>
          <w:b/>
        </w:rPr>
        <w:t>E. 5.3.1</w:t>
      </w:r>
    </w:p>
    <w:p>
      <w:r>
        <w:t>In BVGE 2018 VI/4 und im Referenzurteil D-2311/2016 vom 17. Au- gust 2017 hat sich das Bundesverwaltungsgericht eingehend mit dem erit- reischen Nationaldienst auseinandergesetzt. Dabei wurden die beiden Zweige des militärischen National Service (Nationaldienst in militärischen Einheiten) und des National Service in zivilen Einheiten (ziviler National- dienst) näher erläutert und es wurde festhalten, dass die Dienstdauer grundsätzlich unbestimmt sei. Gemäss Schätzungen sei von einer durch- schnittlichen Dienstdauer von fünf bis zehn Jahren auszugehen, wobei aber auch eine längere Dauer möglich sei, insbesondere im (…). Zwar gebe es Berichte, dass Nationaldienst-Angehörige aus dem zivilen Zweig (vorzeitig) entlassen würden. Das diesbezügliche Vorgehen sei aber in- transparent und betreffe vor allem verheiratete Frauen oder Entlassungen aus familiären Gründen (vgl. BVGE 2018 VI/4 E. 5.3 und Referenzurteil D- 2311/2016 E. 12).</w:t>
      </w:r>
    </w:p>
    <w:p>
      <w:r>
        <w:rPr>
          <w:b/>
        </w:rPr>
        <w:t>E. 5.3.2</w:t>
      </w:r>
    </w:p>
    <w:p>
      <w:r>
        <w:t>Der Beschwerdeführer hat Eritrea im Alter von (…) Jahren verlassen. Zum Zeitpunkt seiner Ausreise im Jahr 2014 hatte er erst ungefähr einein- halb Jahre (ohne die sechsmonatige Haft) im Nationaldienst gedient, womit eine Dienstentlassung bereits aufgrund der vergleichsweise kurzen Dienst- dauer und des jungen Alters des Beschwerdeführers als sehr unwahr- scheinlich zu erachten ist. Angesichts des Mangels an (…) Fachkräften in- folge der Ausreise von vielen Angehörigen des (…) ist auch mit Blick auf die Tätigkeit des Beschwerdeführers als (…) eine ordentliche oder vorzei- tige Entlassung aus dem Nationaldienst nicht anzunehmen (vgl. Bertels- mann Stiftung, BTI 2024 Country Report – Eritrea, 2024, (…), https://bti- project.org/fileadmin/api/content/en/downloads/reports/country_report_ 2024_ERI.pdf, Bertelsmann Stiftung, BTI 2024 Country Report – Eritrea, 2024, (…), https://bti-project.org/fileadmin/api/content/en/downloads/re- ports/country_report_2018_ERI.pdf; Schweizerische Flüchtlingshilfe [SFH], Eritrea: (…) – Auskunft der SFH-Länderanalyse, Bern (…); alle ab- gerufen am 10. April 2024; vgl. auch Reportage von Radio Télévision Suisse [RTS], Erythrée, (…) D._______, (…), betreffend die Bedeutung der Arbeitskräfte aus dem Nationaldienst für das (…) in Eritrea und die Auswir- kung des anhaltenden Exodus von Personal, alle abgerufen am 9. Sep- tember 2024). Schliesslich sind den Akten auch keine familiären Gründe zu entnehmen, die eine Entlassung aus dem Nationaldienst rechtfertigen würden.</w:t>
      </w:r>
    </w:p>
    <w:p>
      <w:r>
        <w:t>E-406/2020 Seite 10</w:t>
      </w:r>
    </w:p>
    <w:p>
      <w:r>
        <w:rPr>
          <w:b/>
        </w:rPr>
        <w:t>E. 5.3.3</w:t>
      </w:r>
    </w:p>
    <w:p>
      <w:r>
        <w:t>Nach dem Gesagten liegen keine Anhaltspunkte vor, dass der Be- schwerdeführer aus dem Dienst entlassen worden wäre. Der Umstand, dass er sich im Jahr 2014 durch seine illegale Ausreise unerlaubt von sei- nem Posten als (…) entfernte, ist demnach einer Desertion aus dem erit- reischen Nationaldienst gleichzusetzen.</w:t>
      </w:r>
    </w:p>
    <w:p>
      <w:r>
        <w:rPr>
          <w:b/>
        </w:rPr>
        <w:t>E. 5.3.4</w:t>
      </w:r>
    </w:p>
    <w:p>
      <w:r>
        <w:t>Gemäss konstanter Rechtsprechung werden Dienstverweigerung und Desertion in Eritrea als Ausdruck einer Regimegegnerschaft qualifiziert und aus politischen Motiven unverhältnismässig streng bestraft, was im Er- gebnis einer asylrelevanten Verfolgung gleichkommt (grundlegend EMARK 2006 Nr. 3; zusammenfassend zu dieser Praxis BVGE 2015/3 E. 5.7.1 so- wie etwa die Urteile des Bundesverwaltungsgerichts D-1359/2015 vom 22. August 2017 E. 6.1 und E-3581/2016 vom 13. November 2017 E. 7.1). Aufgrund seiner Desertion hatte der Beschwerdeführer bereits vor seiner danach erfolgten Ausreise aus Eritrea ernsthafte Nachteile im Sinne von Art. 3 AsylG zu befürchten. Diese Gefährdung dauert auch weiterhin an (vgl. UN Human Rights Council (UNHRC), Situation of Human Rights in Eritrea, A/HRC/56/24, 7. Mai 2024, S. 8, https://documents.un.org/doc/un- doc/gen/g24/073/00/pdf/g2407300.pdf, abgerufen am 9. September 2024). Da die befürchteten Nachteile im Übrigen von den eritreischen Sicherheits- kräften ausgehen, ist im vorliegenden Fall auch offensichtlich nicht vom Bestehen einer sicheren innerstaatlichen Fluchtalternative auszugehen.</w:t>
      </w:r>
    </w:p>
    <w:p>
      <w:r>
        <w:rPr>
          <w:b/>
        </w:rPr>
        <w:t>E. 5.3.5</w:t>
      </w:r>
    </w:p>
    <w:p>
      <w:r>
        <w:t>Nach dem Gesagten bleibt festzustellen, dass der Beschwerdeführer die Voraussetzungen für die Zuerkennung der originären Flüchtlingseigen- schaft im Sinne von Art. 3 AsylG erfüllt. Da den Akten keine Anhaltspunkte zu entnehmen sind, die auf das Vorliegen von Ausschlussgründen im Sinne von Art. 53 und 54 AsylG hindeuten würden, ist ihm in der Schweiz Asyl zu gewähren (vgl. Art. 49 AsylG).</w:t>
      </w:r>
    </w:p>
    <w:p>
      <w:r>
        <w:rPr>
          <w:b/>
        </w:rPr>
        <w:t>E. 6</w:t>
      </w:r>
    </w:p>
    <w:p>
      <w:r>
        <w:t>Die Beschwerde ist demnach gutzuheissen und die angefochtene Verfü- gung vom 18. Dezember 2019 in den Dispositivziffern 2–6 aufzuheben. Das SEM ist anzuweisen, dem Beschwerdeführer Asyl zu gewähren. Hin- sichtlich der ebenfalls angefochtenen Dispositivziffer 3 der vorinstanzlichen Verfügung ist die Beschwerde mit Erteilung der Härtefallbewilligung (vgl. Bst. G.a) gegenstandslos geworden.</w:t>
      </w:r>
    </w:p>
    <w:p>
      <w:r>
        <w:t>E-406/2020 Seite 11</w:t>
      </w:r>
    </w:p>
    <w:p>
      <w:r>
        <w:rPr>
          <w:b/>
        </w:rPr>
        <w:t>E. 7.1</w:t>
      </w:r>
    </w:p>
    <w:p>
      <w:r>
        <w:t>Bei diesem Ausgang des Verfahrens sind keine Kosten aufzuerlegen (Art. 63 Abs. 1 und 2 VwVG). Damit wird die mit Zwischenverfügung vom 4. Februar 2020 gewährte unentgeltliche Prozessführung nachträglich ge- genstandslos.</w:t>
      </w:r>
    </w:p>
    <w:p>
      <w:r>
        <w:rPr>
          <w:b/>
        </w:rPr>
        <w:t>E. 7.2</w:t>
      </w:r>
    </w:p>
    <w:p>
      <w:r>
        <w:t>Obsiegende Parteien haben Anspruch auf eine Parteientschädigung für die ihnen erwachsenen notwendigen Kosten (Art. 64 Abs. 1 VwVG i.V.m. Art. 7 des Reglements vom 21. Februar 2008 über die Kosten und Entschädigungen vor dem Bundesverwaltungsgericht [VGKE, SR 173.320.2]). Die bei den Akten liegende Kostennote vom 24. März 2020 weist einen zeitlichen Aufwand von 7.25 Stunden und Auslagen in der Höhe von Fr. 59.– aus, was unter der Berücksichtigung der Eingaben als angemessen erscheint. Der verlangte Stundenansatz von Fr. 250.– ist reg- lementskonform (vgl. Art. 10 VGKE). Die von der Vorinstanz auszurich- tende Parteientschädigung ist demnach – unter Berücksichtigung der auf die Honorarnote folgenden Eingaben – insgesamt auf Fr. 2’100.– (inkl. Auslagen und Mehrwertsteuerzuschlag) festzusetzen.</w:t>
      </w:r>
    </w:p>
    <w:p>
      <w:r>
        <w:rPr>
          <w:b/>
        </w:rPr>
        <w:t>E. 7.3</w:t>
      </w:r>
    </w:p>
    <w:p>
      <w:r>
        <w:t>Der Anspruch auf ein Honorar der als amtliche Rechtsbeiständin im Sinne von aArt. 110a Abs. 1 AsylG eingesetzten Rechtsvertreterin wird da- mit gegenstandlos.</w:t>
      </w:r>
    </w:p>
    <w:p>
      <w:r>
        <w:t>(Dispositiv nächste Seite)</w:t>
      </w:r>
    </w:p>
    <w:p>
      <w:r>
        <w:t>E-406/2020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