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E-4062/2022 vom 27. September 2022</w:t>
      </w:r>
    </w:p>
    <w:p>
      <w:r>
        <w:t>Bundesverwaltungsgericht, 2022-09-27, DE</w:t>
      </w:r>
    </w:p>
    <w:p>
      <w:r>
        <w:rPr>
          <w:b/>
        </w:rPr>
        <w:t xml:space="preserve">Quelle: </w:t>
      </w:r>
      <w:r>
        <w:t>https://mcp.opencaselaw.ch/entscheid/bvger_E-4062_2022</w:t>
      </w:r>
    </w:p>
    <w:p>
      <w:r>
        <w:t>FR: TAF E-4062/2022 du 27 septembre 2022</w:t>
      </w:r>
    </w:p>
    <w:p>
      <w:r>
        <w:t>IT: TAF E-4062/2022 del 27 settembre 2022</w:t>
      </w:r>
    </w:p>
    <w:p>
      <w:pPr>
        <w:pStyle w:val="Heading2"/>
      </w:pPr>
      <w:r>
        <w:t>Regeste</w:t>
      </w:r>
    </w:p>
    <w:p>
      <w:r>
        <w:t>Asyl und Wegweisung (Mehrfachgesuch/Wiedererwägung)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BV) verletzt, da sich ihre Erwägungen – selbst unter Berücksichtigung, dass diese bei der Einschätzung der Prozessaussichten durchaus summa- risch sein dürfen – mit zentralen Vorbringen der Beschwerdeführerin nicht beziehungsweise zu wenig auseinandersetzt (vgl. MOSER/BEUSCH/KNEU- BÜHLER, Prozessieren vor dem Bundesverwaltungsgericht, 3. Aufl. 2022, S. 219 Rz. 3.106), dass die Vorinstanz aufgrund des Ausgeführten anzuhalten ist, bei der Be- urteilung der Verfahrensprognose und dem darauf gestützten Entscheid über einen Kostenvorschuss die aktuellen Begebenheiten, insbesondere die neuere Rechtsprechung, einzubeziehen, dass die Beschwerde gutzuheissen und die Sache deshalb zur vollständi- gen und rechtsgenüglichen Entscheidbegründung an die Vorinstanz zu- rückzuweisen ist (Art. 61 Abs. 1 VwVG), dass nach dem Gesagten und angesichts des Nichteintretensentscheids durch das SEM ein direkter, materieller Entscheid durch das Bundesver- waltungsgericht nicht in Frage kommt, dass bei dieser Ausgangslage des Beschwerdeverfahrens keine Prozess- kosten zu erheben sind (Art. 63 Abs. 1 und 2 VwVG), womit der Antrag auf</w:t>
      </w:r>
    </w:p>
    <w:p>
      <w:r>
        <w:t>E-4062/2022 Seite 7 Gewährung der unentgeltlichen Prozessführung im Sinne von Art. 65 Abs. 1 VwVG gegenstandlos geworden ist, dass der vertretenen Beschwerdeführerin angesichts ihres Obsiegens in Anwendung von Art. 64 VwVG und Art. 7 ff. des Reglements vom 21. Feb- ruar 2008 über die Kosten und Entschädigungen vor dem Bundesverwal- tungsgericht (VGKE, SR 173.320.2) eine Entschädigung für die ihr notwen- digerweise erwachsenen Parteikosten zuzusprechen und damit auch der Antrag auf anwaltliche Rechtsverbeiständung im Sinne von Art. 65 Abs. 2 VwVG gegenstandslos geworden ist, dass keine Kostennote eingereicht wurde, weshalb die notwendigen Par- teikosten aufgrund der Akten zu bestimmen sind (Art. 14 Abs. 2 in fine VGKE), dass die von der Vorinstanz auszurichtende Parteientschädigung in An- wendung der genannten Bestimmungen und unter Berücksichtigung der massgeblichen Bemessungsfaktoren demnach von Amtes wegen auf ins- gesamt Fr. 900.– (inkl. Auslagen) festzulegen ist.</w:t>
      </w:r>
    </w:p>
    <w:p>
      <w:r>
        <w:t>(Dispositiv nächste Seite)</w:t>
      </w:r>
    </w:p>
    <w:p>
      <w:r>
        <w:t>E-4062/2022 Seite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