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E-405/2012 vom 14. November 2013</w:t>
      </w:r>
    </w:p>
    <w:p>
      <w:r>
        <w:t>Bundesverwaltungsgericht, 2013-11-14, DE</w:t>
      </w:r>
    </w:p>
    <w:p>
      <w:r>
        <w:rPr>
          <w:b/>
        </w:rPr>
        <w:t xml:space="preserve">Quelle: </w:t>
      </w:r>
      <w:r>
        <w:t>https://mcp.opencaselaw.ch/entscheid/bvger_E-405_2012</w:t>
      </w:r>
    </w:p>
    <w:p>
      <w:r>
        <w:t>FR: TAF E-405/2012 du 14 novembre 2013</w:t>
      </w:r>
    </w:p>
    <w:p>
      <w:r>
        <w:t>IT: TAF E-405/2012 del 14 novembre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Nachdem der Kostenvorschuss innert angesetzter Frist geleistet wurde, ist auf die Beschwerde einzutreten.</w:t>
      </w:r>
    </w:p>
    <w:p>
      <w:r>
        <w:rPr>
          <w:b/>
        </w:rPr>
        <w:t>E. 2</w:t>
      </w:r>
    </w:p>
    <w:p>
      <w:r>
        <w:t>Mit Beschwerde können die Verletzung von Bundesrecht, die unrichtige oder unvollständige Feststellung des rechtserheblichen Sachverhaltes und die Unangemessenheit gerügt werden (Art. 112 Abs. 1 AuG i.V.m. Art. 49 VwVG).</w:t>
      </w:r>
    </w:p>
    <w:p>
      <w:r>
        <w:rPr>
          <w:b/>
        </w:rPr>
        <w:t>E. 3.1</w:t>
      </w:r>
    </w:p>
    <w:p>
      <w:r>
        <w:t>Die am 1. Januar 2008 in Kraft getretene übergangsrechtliche Bestimmung von Art. 126a Abs. 4 AuG sieht vor, dass für Personen, die im Zeitpunkt des Inkrafttretens der Änderung des AsylG vom 16. Dezember 2005 sowie des AuG vorläufig aufgenommen sind, das neue Recht gilt. Diese spezielle Regel geht der allgemeinen Regel von Art. 126 Abs. 1 AuG (vgl. dazu BVGE 2008/1) vor.</w:t>
      </w:r>
    </w:p>
    <w:p>
      <w:r>
        <w:rPr>
          <w:b/>
        </w:rPr>
        <w:t>E. 3.2</w:t>
      </w:r>
    </w:p>
    <w:p>
      <w:r>
        <w:t>Der Beschwerdeführer wurde unter altem Recht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1-3 AuG - vorliegen.</w:t>
      </w:r>
    </w:p>
    <w:p>
      <w:r>
        <w:rPr>
          <w:b/>
        </w:rPr>
        <w:t>E. 4.1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19. Dezember 2011 zugrunde liegt, offensichtlich nicht vollständig festgestellt ist. Denn es besteht kein Zweifel, dass eine neue Lagebeurteilung vor Ort sich auf die konkrete Feststellung des rechtserheblichen Sachverhalts und mithin auf den Wegweisungsvollzugspunkt auswirken kann.</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4.3</w:t>
      </w:r>
    </w:p>
    <w:p>
      <w:r>
        <w:t>Die Beschwerde ist demnach gutzuheissen. Die angefochtene Verfügung ist aufzuheben und die Sache zur vollständigen Sachverhaltsfeststellung sowie zu neuer Entscheidung an die Vorinstanz zurückzuweisen. Die Akten sowie eine Kopie der Beschwerdeschrift und der im Beschwerdeverfahren eingereichten Beweismittel, welche ebenfalls Prozessstoff des vorinstanzlichen Verfahrens bilden werden, werden dem BFM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Der Kostenvorschuss von Fr. 600.- ist dem Beschwerdeführer zurückzuerstatten.</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Vorliegend wurde keine Kostennote zu den Akten gereicht, indes kann auf entsprechende Nachforderung verzichtet werden, da der notwendige Vertretungsaufwand aufgrund der Akten zuverlässig abgeschätzt werden kann (Art. 14 Abs. 2 letzter Satz VGKE). Unter Berücksichtigung der massgebenden Berechnungsfaktoren (Art. 8-13 VGKE) ist die Parteientschädigung auf Fr. 600.- (inkl. Auslagen und allfällige Mehrwertsteuer) festzusetzen. Die Vorinstanz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