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E-405/2008 vom 15. August 2008</w:t>
      </w:r>
    </w:p>
    <w:p>
      <w:r>
        <w:t>Bundesverwaltungsgericht, 2008-08-15, DE</w:t>
      </w:r>
    </w:p>
    <w:p>
      <w:r>
        <w:rPr>
          <w:b/>
        </w:rPr>
        <w:t xml:space="preserve">Quelle: </w:t>
      </w:r>
      <w:r>
        <w:t>https://mcp.opencaselaw.ch/entscheid/bvger_E-405_2008</w:t>
      </w:r>
    </w:p>
    <w:p>
      <w:r>
        <w:t>FR: TAF E-405/2008 du 15 août 2008</w:t>
      </w:r>
    </w:p>
    <w:p>
      <w:r>
        <w:t>IT: TAF E-405/2008 del 15 agosto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Vorweg ist die Rüge der aktenwidrigen Sachverhaltsfeststellung und der Verletzung des Untersuchungsgrundsatzes bzw. der Begründungspflicht zu prüfen, da ein allenfalls aktenwidrig abgeklärter Sachverhalt eine materielle Beurteilung verunmöglichen würde.</w:t>
      </w:r>
    </w:p>
    <w:p>
      <w:r>
        <w:rPr>
          <w:b/>
        </w:rPr>
        <w:t>E. 3.1.1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Der Grundsatz des rechtlichen Gehörs (Art. 29 Abs. 2 BV, Art. 29 VwVG, Art. 32 Abs. 1 VwVG) wiederum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ARK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(EMARK 2006 Nr. 24 E.5.1 S. 256f.).</w:t>
      </w:r>
    </w:p>
    <w:p>
      <w:r>
        <w:rPr>
          <w:b/>
        </w:rPr>
        <w:t>E. 3.1.2</w:t>
      </w:r>
    </w:p>
    <w:p>
      <w:r>
        <w:t>Das BFM stellte vorab in der angefochtenen Verfügung vom 19. Dezember 2007 fest, dass seine Verfügung vom 21. Dezember 2004 in Rechtskraft erwachsen sei. Wie dies das BFM in seiner Vernehmlassung auch korrigierte, unterlief ihm diesbezüglich, offensichtlich ein redaktioneller Fehler. Es ist evident und es geht auch aus dem weiteren Text der Verfügung vom 19. Dezember 2007 klar hervor, dass die Verfügung des BFF vom 21. Dezember 2004 lediglich bezüglich des Asyls, der Flüchtlingseigenschaft und der verfügten Wegweisung in Rechtskraft erwachsen ist und nicht auch bezüglich des Wegweisungsvollzugs, zumal das BFM am 28. Dezember 2005 die vorläufige Aufnahme angeordnet hat.</w:t>
      </w:r>
    </w:p>
    <w:p>
      <w:r>
        <w:rPr>
          <w:b/>
        </w:rPr>
        <w:t>E. 3.1.3</w:t>
      </w:r>
    </w:p>
    <w:p>
      <w:r>
        <w:t>Bezüglich des Hinweises in der Beschwerde auf das Urteil des Bundesverwaltungsgerichts D-1444/2007 vom 2. Juli 2007 und des Vorhalts, dass das BFM von Amtes wegen die Asylrelevanz hätte prüfen müssen, ist festzuhalten, dass es sich dort um eine ganz andere Sach- und Rechtslage gehandelt hat, zumal es in jenem Verfahren um eine Beschwerde gegen das Nichteintreten auf ein Wiedererwägungsgesuch ging. Ferner ist darauf hinzuweisen, dass die Frage des Asyls nicht Gegenstand des vorliegenden Verfahrens ist, zumal die Verfügung vom 21. Dezember 2004 in Bezug auf die festgestellte fehlende Flüchtlingseigenschaft sowie die Nichtgewährung von Asyl nach dem Rückzug der Beschwerde in Rechtskraft erwachsen ist. Somit kann es - trotz des im Verwaltungsverfahren geltenden Untersuchungsgrundsatzes - nicht Sache der Asylbehörden sein, von Amtes wegen auf das Asyl zurückzukommen und es zu prüfen. Daran ändert auch die in der Rechtsmitteleingabe angesprochene Praxisänderung zur Schutztheorie nichts (res iudicata; Fritz Gygi, Bundesverwaltungsrechtspflege, 2. Aufl., Bern 1983, S. 322 f.; Alfred Kölz/Isabelle Häner, Verwaltungsverfahren und Verwaltungsrechtspflege des Bundes, 2. Aufl., Zürich 1998, S. Rz. 715).</w:t>
      </w:r>
    </w:p>
    <w:p>
      <w:r>
        <w:rPr>
          <w:b/>
        </w:rPr>
        <w:t>E. 3.1.4</w:t>
      </w:r>
    </w:p>
    <w:p>
      <w:r>
        <w:t>Ferner stellte das BFF in seiner Verfügung vom 21. Dezember 2004 im Ergebnis fest, die Vorbringen des Beschwerdeführers würden den Anforderungen an die Flüchtlingseigenschaft gemäss Art. 3 AsylG nicht genügen. Es könne bei offensichtlich fehlender Asylrelevanz darauf verzichtet werden, auf allfällige Unglaubhaftigkeitselemente in den Vorbringen des Beschwerdeführers einzugehen. In seiner Verfügung vom 19. Dezember 2007 hielt die Vorinstanz aber fest, dass "der Ausländer die geltend gemachten Verfolgungsgründe in seinem Asylgesuch nicht glaubhaft machen konnte, weshalb sein Asylgesuch ohne weitere Abklärungen abgelehnt wurde. Weitere diesbezügliche Ausführungen über eine allfällige Gefährdung bei einer Rückkehr in den Irak würden sich somit erübrigen". Dabei handelt es sich in der späteren Verfügung offensichtlich um eine falsche Wiedergabe der - in Rechtskraft erwachsenen - Schlussfolgerungen zum Asylpunkt. Auf der Basis dieses unsorgfältigen Vorgehens setzte sich die Vorinstanz mit einer allfälligen Gefährdung durch die Islamisten (Djund als Islam) nicht mehr auseinander. Damit verletzte sie zwar die Begründungspflicht nicht, ging jedoch offensichtlich von einem falschen Sachverhalt aus. Es stellt sich die Frage, ob die festgestellten Verfahrensverletzungen geheilt werden können oder zur Kassation der angefochtenen Verfügung führen müssen. Das Bundesverwaltungsgericht geht - wie dies schon ständige Praxis ihrer Vorgängerin, der ARK, war - davon aus, dass solche Verletzungen dank der umfassenden Kognition der Beschwerdeinstanz in bestimmten Schranken geheilt werden können; dies insbesondere unter den Voraussetzungen, dass die unterbliebene Handlung nachgeholt wird und die Beschwerdeführenden sich dazu haben äussern können. Eine fehlende Entscheidungsreife kann grundsätzlich auch durch die Beschwerdeinstanz hergestellt werden, insbesondere aus prozessökonomischen Gründen (EMARK 2004 Nr. 38 E. 7.1. S. 265; 1998 Nr. 34 E. 10d S. 292 ff., je mit weiteren Hinweisen). Aufgrund der aktenkundig geltend gemachten Furcht des Beschwerdeführers, durch die Jund al-Islam getötet zu werden, ist es dem Gericht möglich, die geltend gemachte Gefährdung zu überprüfen und damit auch die geforderte Entscheidungsreife herzustellen. Nachdem das Verfahren bereits seit einiger Zeit hängig ist, rechtfertigt es sich auch aus prozessökonomischer Sicht, auf eine Kassation der erstinstanzlichen Verfügung zu verzichten und die volle Kognitionsbefugnis der Beschwerdeinstanz zu nutzen; dies nicht zuletzt auch deshalb, weil das BFM aufgrund eines Versehens von der Unglaubhaftigkeit der Vorbringen ausgegangen ist und zur Frage einer allfälligen Gefährdung des Beschwerdeführers durch die Jund al-Islam im Rahmen der Vernehmlassung Stellung genommen hat. Der Beschwerdeführer hatte sodann Gelegenheit zu replizieren. Im Folgenden wird demnach unter anderem zu prüfen sein, ob die Gefahr, durch die Islamisten getötet zu werden, den Vollzug der Wegweisung unzulässig beziehungsweise unzumutbar erscheinen lässt.</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ihrer Verfügung vom 21. Dezember 2004 zutreffend darauf hin, dass der Grundsatz der Nichtrückschiebung nur Personen schützt, die die Flüchtlingseigenschaft erfüllen (vgl. Mario Gattiker, Das Asyl- und Wegweisungsverfahren, 3. Aufl., Bern 1999, S. 89). Da es dem Beschwerdeführer, wie rechtskräftig feststeht,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w:t>
      </w:r>
    </w:p>
    <w:p>
      <w:r>
        <w:rPr>
          <w:b/>
        </w:rPr>
        <w:t>E. 4.2.3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wie auch in der in Verfügung vom 21. Dezember 2004 festgestellt, nicht gelungen ist. Wie bereits vorne erwähnt (vgl. Ziffer 3.1.3) kann die in der Rechtmitteleingabe angesprochene Praxisänderung zur Schutztheorie nicht dazu führen, die Verfügung des BFM von Amtes wegen im Asylpunkt erneut zu überprüfen. Hinzu kommt, dass in der Verfügung festgehalten wurde, dass die PUK in der Lage ist, den Beschwerdeführer vor der geltend gemachten Verfolgung durch Dritte zu schützen. Die PUK ist auch auf die Meldung des Beschwerdeführers hin sehr aktiv geworden, ist sofort zum Ort, wo die Islamisten geschossen hatten, gegangen und hat Untersuchungsmassnahmen eingeleitet. Der Beschwerdeführer hat jedoch das Land am 19. Dezember 2002 also bereits vier Tage nach dem Vorfall verlassen, so dass er gar nicht über die weitergehenden Untersuchungen seitens der PUK informiert werden konnte. Es sind weder den Asylakten noch der Stellungnahme und der Beschwerde überzeugende Gründe zu entnehmen, weshalb die nordirakischen Behörden im vorliegenden Fall nicht schutzwillig oder schutzfähig sein sollten. Soweit der Beschwerdeführer geltend macht, er fürchte sich, von den Islamisten getötet zu werden, ist dazu festzuhalten, dass namentlich aufgrund der langen Zeitspanne zwischen jenem Ereignis im Dezember 2002 und dem aktuellen Urteilszeitpunkt nicht mit erheblicher Wahrscheinlichkeit von einem diesbezüglich bestehenden konkreten Risiko auszugehen ist, zumal sich der Beschwerdeführer - ausser den erwähnten Transporten - für die C._______ nicht engagierte und auch sonst kein politisches Profil aufweist. Sodann lässt die allgemeine Sicherheits- und Menschenrechtslage im kurdischen Nordirak, die im publizierten Urteil des Bundesverwaltungsgerichts BVGE E-6982/2006 vom 22. Januar 2008 Gegenstand einer umfassenden Beurteilung bildet,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Das Bundesverwaltungsgericht ist in einem Grundsatzurteil vom 14. März 2008 (E-4243/2007; publiziert unter BVGE 2008/5)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4.3.3</w:t>
      </w:r>
    </w:p>
    <w:p>
      <w:r>
        <w:t>Der Beschwerdeführer, welcher keine gesundheitlichen Beeinträchtigungen geltend macht, stammt aus B._______ (Provinz Suleimaniya), wo er seit 1990 bis zur Ausreise gelebt und gearbeitet hat. Zudem war er auch in der Schweiz als I._______ erwerbstätig. Angesichts dessen und des jungen Alters des Beschwerdeführers ist davon auszugehen, dass er sich in seiner Heimat in den Arbeitsmarkt wird integrieren können. Bei einer Rückkehr in die Provinz Suleimaniya wird er zudem mit seiner J._______ und K._______ ein familiäres Beziehungsnetz vorfinden, welches ihm bei einer Wiedereingliederung behilflich sein kann. Die Rückkehrhilfe der Schweiz wird ihm den Wiedereinstieg in seiner Heimat ebenfalls erleichtern können. Schliesslich sind keine weiteren individuellen Gründe ersichtlich, aufgrund derer allenfalls geschlossen werden könnte, der Beschwerdeführer gerate im Falle der Rückkehr in die Heimat in eine existenzbedrohende Situation, weshalb der Vollzug der Wegweisung - übereinstimmend mit dem BFM - als zumutbar zu bezeichnen ist.</w:t>
      </w:r>
    </w:p>
    <w:p>
      <w:r>
        <w:rPr>
          <w:b/>
        </w:rPr>
        <w:t>E. 4.3.4</w:t>
      </w:r>
    </w:p>
    <w:p>
      <w:r>
        <w:t>Was die geltend gemachte gute Integration in der Schweiz anbelangt, ist festzuhalten, dass die nunmehr gut fünfjährige Aufenthaltsdauer in der Schweiz unter dem Aspekt der Zumutbarkeit des Wegweisungsvollzugs keinen Grund bildet, welcher gegen einen Wegweisungsvollzug spricht, zumal der Beschwerdeführer seine Kindheits- und Adoleszenzjahre, mithin seine prägenden Lebensjahre im Irak verbracht hat, weshalb es ihm zumutbar ist, in seinen gewohnten Kultur- und Lebenskreis zurückzukehren. Von einer über das übliche Mass hinausgehenden Entwurzelung ist vorliegend nicht auszugehen. Gemäss Art. 14 Abs. 2 AsylG kann der zuständige Kanton mit Zustimmung des Bundesamts eine Aufenthaltsbewilligung erteilen, wenn die betroffene Person sich seit Einreichung des Asylgesuches mindestens fünf Jahre in der Schweiz aufhält und wegen der fortgeschrittenen Integration ein schwerwiegender persönlicher Härtefall vorliegt. Den Akten kann entnommen werden, dass ein Gesuch um Erteilung einer Aufenthaltsbewilligung beim Migrationsamt des Kantons Zürich bereits hängig ist und nach Abschluss des vorliegenden Beschwerdeverfahrens weiter behandelt wird.</w:t>
      </w:r>
    </w:p>
    <w:p>
      <w:r>
        <w:rPr>
          <w:b/>
        </w:rPr>
        <w:t>E. 4.4</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 Insgesamt hat die Vorinstanz den Vollzug der Wegweisung zu Recht als zulässig, zumutbar und möglich erachtet und die vorläufige Aufnahme wieder aufgehoben.</w:t>
      </w:r>
    </w:p>
    <w:p>
      <w:r>
        <w:rPr>
          <w:b/>
        </w:rPr>
        <w:t>E. 6</w:t>
      </w:r>
    </w:p>
    <w:p>
      <w:r>
        <w:t>Bei diesem Ausgang des Verfahrens wären die Kosten an sich dem Beschwerdeführer aufzuerlegen (Art. 63 Abs. 1 VwVG). Vorliegend ist jedoch zu berücksichtigen, dass erst auf Beschwerdeebene die Verletzung des unrichtig festgestellten rechtserheblichen Sachverhalts geheilt werden konnte, weshalb gestützt auf Art. 6 Bst. b des Reglements vom 21. Februar 2008 über die Kosten und Entschädigungen vor dem Bundesverwaltungsgericht (VGKE, SR 173.320.2) i.V.m. Art. 63 Abs. 1 in fine VwVG keine Verfahrenskosten aufzuerlegen sind (vgl. EMARK 2003 Nr. 5). Nachdem die Beschwerde im Ergebnis abzuweisen ist, wäre grundsätzlich keine Parteientschädigung auszurichten (vgl. Art. 64 Abs. 1 VwVG). Aus dem Umstand, dass der Beschwerdeführer nur durch das Ergreifen eines Rechtsmittels zu einem rechtskonformen Entscheid gelangt ist, darf ihm kostenmässig kein Nachteil erwachsen, weshalb die ihm in diesem Umfang angefallenen Kosten zu entschädigen sind (vgl. EMARK 2003 a.a.O.). Da sich der erforderliche prozessuale Aufwand des Rechtsvertreters des Beschwerdeführers vorliegend auch ohne Kostennote mit hinreichender Genauigkeit ermitteln lässt, wird die Parteientschädigung von Amtes wegen auf Fr. 400.-- (inkl. Spesen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