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E-4054/2014 vom 28. Juli 2014</w:t>
      </w:r>
    </w:p>
    <w:p>
      <w:r>
        <w:t>Bundesverwaltungsgericht, 2014-07-28, DE</w:t>
      </w:r>
    </w:p>
    <w:p>
      <w:r>
        <w:rPr>
          <w:b/>
        </w:rPr>
        <w:t xml:space="preserve">Quelle: </w:t>
      </w:r>
      <w:r>
        <w:t>https://mcp.opencaselaw.ch/entscheid/bvger_E-4054_2014</w:t>
      </w:r>
    </w:p>
    <w:p>
      <w:r>
        <w:t>FR: TAF E-4054/2014 du 28 juillet 2014</w:t>
      </w:r>
    </w:p>
    <w:p>
      <w:r>
        <w:t>IT: TAF E-4054/2014 del 28 luglio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Der Zeitpunkt der Eröffnung der angefochtenen Verfügung steht mangels Vorliegens einer Empfangsbestätigung nicht fest. Da die Beweislast für die Zustellung an die Partei der eröffnenden Behörde obliegt (vgl. Moser/Beusch/Kneubühler, Prozessieren vor dem Bundesverwaltungsgericht, Basel 2013, 2. Auf. Rz. 2.112, S. 76), ist zugunsten des Beschwerdeführers davon auszugehen, dass die am 21. Juli 2014 beim Gericht eingegangene Beschwerde rechtzeitig erfolgt ist. 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Bedenken des Beschwerdeführers vor Übergriffen durch die Sicherheitsbehörden seien nachvollziehbar, würden indes die Wahrscheinlichkeit einer einreisebeachtlichen Bedrohung im heutigen Zeitpunkt nicht zu begründen vermögen. Der Beschwerdeführer sei im August 2008 bedingungslos freigelassen worden. Was die Ereignisses nach der Entlassung anbelange, so würden erhebliche Zweifel an deren Glaubhaftigkeit bestehen. Der Beschwerdeführer sei in dieser Zeit mehrmals ins Ausland gereist, habe stets an derselben Adresse gewohnt und als C._______ gearbeitet, was alles kaum möglich gewesen wäre, wenn er verdächtigt worden wäre, in terroristische Aktivitäten involviert zu sein. Selbst bei Wahrunterstellung der Vorfälle komme den in diesem Zusammenhang geltend gemachten behördlichen Massnahmen, aufgrund mangelnder Intensität kein Verfolgungscharakter zu. Es sei davon auszugehen, dass der Beschwerdeführer über kein ausreichend politisches Profil verfüge, welches zum jetzigen Zeitpunkt mit erheblicher Wahrscheinlichkeit zu einreiserelevanten Schwierigkeiten führen könnte. Dieser Schluss werde durch die Tatsache bestärkt, dass sich der Beschwerdeführer im Jahre 2009 einen neuen Reisepass habe ausstellen lassen können.</w:t>
      </w:r>
    </w:p>
    <w:p>
      <w:r>
        <w:rPr>
          <w:b/>
        </w:rPr>
        <w:t>E. 5.2</w:t>
      </w:r>
    </w:p>
    <w:p>
      <w:r>
        <w:t>In der Rechtsmitteleingabe macht der Beschwerdeführer zur Hauptsache geltend, vom 1. bis 10. Juli 2014 sei er insgesamt fünf Mal von Polizisten in Zivil besucht worden. Er lebe deshalb in Angst. 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Der Beschwerdeführer gehört indes keiner dieser Gruppen an und zudem sind ihm, wie bereits die Vorinstanz festgestellt hat, seit seiner Entlassung im August 2008 keine ernsthaften Nachteile im Sinne von Art. 3 AsylG widerfahren. Was die in der Beschwerdeeingabe angeführten fünf Besuche der Polizei anbelangt, so unterlässt es der Beschwerdeführer, diese auch nur schon ansatzweise zu substantiieren. Es ist deshalb davon auszugehen, dass sie für den Beschwerdeführer ohne weitere Folgen geblieben sind. Wäre der Beschwerdeführer tatsächlich einer Verbindung zur LTTE verdächtigt worden, wäre er mit Sicherheit inhaftiert worden. Somit bestehen, wie bereits die Vorinstanz festgestellt hat, erhebliche Zweifel an der Glaubhaftigkeit der Vorbringen des Beschwerdeführers. Weitergehend legt der Beschwerdeführer mit dem sinngemässen Wiederholen seiner Asylvorbringen sowie dem Hinweis, er würde sich schnell an die Lebensweise in der Schweiz gewöhnen, nicht substantiiert dar, inwiefern die Verfügung Bundesrecht verletzen oder aus einen anderen Beschwerdegrund mangelhaft sein soll. Solches ist auch nicht ersichtlich. Dem Beschwerdeführer ist somit ein weiterer Verbleib in Sri Lanka zumutbar und er ist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