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E-4050/2010 vom 18. Oktober 2012</w:t>
      </w:r>
    </w:p>
    <w:p>
      <w:r>
        <w:t>Bundesverwaltungsgericht, 2012-10-18, DE</w:t>
      </w:r>
    </w:p>
    <w:p>
      <w:r>
        <w:rPr>
          <w:b/>
        </w:rPr>
        <w:t xml:space="preserve">Quelle: </w:t>
      </w:r>
      <w:r>
        <w:t>https://mcp.opencaselaw.ch/entscheid/bvger_E-4050_2010</w:t>
      </w:r>
    </w:p>
    <w:p>
      <w:r>
        <w:t>FR: TAF E-4050/2010 du 18 octobre 2012</w:t>
      </w:r>
    </w:p>
    <w:p>
      <w:r>
        <w:t>IT: TAF E-4050/2010 del 18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wie bereits im Urteil vom 6. Februar 2009 festgestellt worden ist, frist- und formgerecht eingereicht und die Beschwerde-führenden sind zur Einreichung der Beschwerde legitimiert (Art. 105 und Art. 108 Abs. 1 AsylG, Art. 48 Abs. 1 sowie Art. 52 VwVG). Auf die Beschwerde ist, nachdem deren erste beschwerdeinstanzliche Beurteilung durch das Bundesverwaltungsgericht mit Revisionsurteil vom 13. Januar 2010 wieder aufgehoben wurde, einzutreten.</w:t>
      </w:r>
    </w:p>
    <w:p>
      <w:r>
        <w:rPr>
          <w:b/>
        </w:rPr>
        <w:t>E. 1.4</w:t>
      </w:r>
    </w:p>
    <w:p>
      <w:r>
        <w:t>Mit Verfügung des BFM vom 2. Juli 2010 wurden die Beschwerdeführenden widererwägungsweise vorläufig aufgenommen, womit die Anfechtung des Vollzugs der Wegweisung dahingefallen ist. Im weiteren Verlaufe des wieder aufgenommenen Beschwerdeverfahrens wurde ihnen zudem von der zuständigen kantonalen Behörde eine Aufenthaltsbewilligung erteilt, so dass auch die Wegweisung als solche dahingefallen ist und sich der Beschwerdegegenstand im Folgenden auf den Asylpunkt beschränkt.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5.2f. und BVGE 2008/4 E. 5, BVGE 2008/12 E. 7.2.6.2 sowie die vom Bundesverwaltungsgericht fortgeführte Rechtsprechung der vormaligen ARK in Entscheidungen und Mitteilungen der Schweizerischen Asylrekurskommission [EMARK] 1995 Nr. 2 E. 3a, EMARK 2006 Nr. 18 E. 7-10 und EMARK Nr. 32 E. 8.7). Verfolgung ist demnach asylbeachtlich, wenn sie vom Staat ausgeht; nichtstaatliche Verfolgung ist dagegen nur dann asylbeachtlich, wenn der Staat zur Verfolgung anregt oder er sie sich in anderer Weise zurechnen lassen muss oder aber wenn er weder gewillt noch in der Lage ist, vor Verfolgung ausreichend Schutz zu bieten.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dabei auch davon ab, on der Schutz die von Verfolgung betroffene Person tatsächlich erreicht (vgl. UNHCR, Internationaler Flüchtlingsschutz, Auslegung von Artikel 1 des Abkommens von 1951 über die Rechtsstellung von Flüchtlingen, April 2001, Ziff. 15.).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2008/5 E. 4.2 S. 60 f., BVGE 2008/4 E. 5.2 S. 37 f., EMARK 2006 Nr. 32 E. 6.1 S. 340 f., EMARK 2006 Nr. 18 E. 10.3.2 S. 203). Falls sich herausstellt, dass die Beschwerdeführerin in einem Landesteil von Verfolgung betroffen ist, ist zudem zu prüfen, ob in einem andern Landesteil eine innerstaatliche Schutzalternative besteht, was nur gegeben ist, wenn sie dort nicht in eine existenzbedrohende Lage geraten würde (vgl. BVGE 2011/51 E. 8 m.w.H.). Nachteilen, die Frauen zugefügt werden oder zugefügt zu werden drohen, liegt ein flüchtlingsrechtlich relevantes Motiv im Sinne von Art. 3 Abs. 1 AsylG dann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dazu EMARK 2006 Nr. 32 E. 8.7.2 und E. 8.7.3; D-4289/2006 vom 11. September 2008 E. 6.4).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ihrem Revisionsgesuch machte die Beschwerdeführerin neue Tatsachen geltend und legte dazu Arztzeugnisse ins Recht (vgl. Bst. B.a). Mit Urteil vom 13. Januar 2010 stellte das Bundesverwaltungsgericht fest, dass die geltend gemachten neuen Tatsachen im revisionsrechtlichen Sinne neu sind, weil sie sich bereits vor dem Abschluss des Beschwerdeverfahrens ereignet hatten und auch bei zumutbarer Sorgfalt nicht bereits im ordentlichen Verfahren hätten vorgebracht werden können, und insofern erheblich sind, als sie grundsätzlich geeignet gewesen wären, sich auf den Beschwerdeentscheid auszuwirken. Zudem stellte es ebenso die revisionsrechtliche Neuheit und Erheblichkeit der eingereichten Beweismittel fest. Zur Glaubhaftigkeit und der flüchtlingsrechtlichen Relevanz der neuen Vorbringen äusserte sich das Gericht indes nicht. Das BFM erhielt in der Folge zweimal Gelegenheit, sich mit den neuen Tatsachen und Beweismitteln auseinanderzusetzen. Weder in seiner Stellungnahme vom 4. Dezember 2009 im Rahmen des Revisionsverfahrens noch in der Vernehmlassung vom 2. Juli 2010 ging es aber auf die neuen Tatsachen näher ein. Ohne weitergehende Begründung hielt es im Rahmen des Revisionsverfahrens den Wegweisungsvollzug "in diesem Fall" (vgl. Bst. B.b) und im wieder aufgenommenen Beschwerdeverfahren "in Würdigung aller Umstände" (vgl. Bst. D) für nicht mehr zumutbar. Aus den Vernehmlassungen geht indes nicht hervor, von welchen Überlegungen sich das BFM bei seinem Entscheid hat leiten lassen. Insbesondere ist nicht ersichtlich, ob es seinen Wiedererwägungsentscheid alleine auf die in den mit dem Revisionsgesuch eingereichten Arztzeugnissen ausgewiesenen Symptome ((...)) stützte oder auch die anamnestischen Angaben einbezog. Es prüfte weder die Glaubhaftigkeit der neuen Vorbringen noch gegebenenfalls deren flüchtlingsrechtliche Relevanz ausdrücklich. Damit verletzte es - besonders hinsichtlich der stillschweigenden Feststellung der fehlenden Flüchtlingseigenschaft - seine Begründungspflicht, wie nachfolgend aufgezeigt, schwer. Der Anspruch auf rechtliches Gehör (Art. 29 Abs. 2 der Bundesverfassung der Schweizerischen Eidgenossenschaft vom 18. April 1999 [BV, SR 101];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Verwaltungsverfahren [VwVG], Zürich 2008, N. 6 ff. zu Art. 35; BVGE 2007/30 E. 5.6).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(EMARK 1994 Nr. 3 E. 4a-b S. 25). Die Begründungsdichte richtet sich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 EMARK 2006 Nr. 24 E. 5.1. S. 256). Indem das BFM zu den im Revisionsgesuch geltend gemachten Vorbringen nicht ausdrücklich Stellung nahm, so dass weder für die Beschwerdeführenden noch für die Rechtsmittelinstanz ersichtlich ist, von welchen Überlegungen es sich bei seinem Wiedererwägungsentscheid hat leiten lassen, ist es den Beschwerdeführenden verunmöglicht worden, seinen Erwägungen auf Replikebene sachgerecht zu entgegnen. Damit verletzte es seine aus dem Anspruch auf rechtliches Gehör resultierende Begründungspflicht. Die Frage nach einer möglichen Heilung dieses Verfahrensfehlers erübrigt sich unter den Umständen. Bezüglich der Frage der Flüchtlingseigenschaft und des Asyls unterliess es die Vorinstanz zudem, den rechtserheblichen Sachverhalt vollständig festzustellen und rechtlich zu würdigen, und verletzte damit ebenfalls Art. 106 Abs. 1 AsylG. Das Bundesverwaltungsgericht entscheidet in der Regel reformatorisch. Nur ausnahmsweise wird eine angefochtene Verfügung kassiert und an die Vorinstanz zurückgewiesen. In casu hat das BFM trotz zweimaliger Gelegenheit versäumt, die revisionsweise geltend gemachten neuen Tatsachen auf ihre Glaubhaftigkeit und gegebenenfalls auf ihre flüchtlingsrechtliche Relevanz hin zu überprüfen. In einem solchen Fall rechtfertigt sich eine Kassation der angefochtenen Verfügung, zumal keine Heilung des Verfahrensfehlers eingetreten ist und den Beschwerdeführenden auf diese Weise der Instanzenzug erhalten bleibt, was umso wichtiger ist, als das Bundesverwaltungsgericht im Bereich des Asyls letztinstanzlich entscheidet (vgl. dazu BVGE 2009/53 E. 7.3 S. 773, BVGE 2008/47 E. 3.3.4 S. 676 f., BVGE 2008/14 E. 4.1 S. 18).</w:t>
      </w:r>
    </w:p>
    <w:p>
      <w:r>
        <w:rPr>
          <w:b/>
        </w:rPr>
        <w:t>E. 5</w:t>
      </w:r>
    </w:p>
    <w:p>
      <w:r>
        <w:t>Nach dem Gesagten ist die angefochtene Verfügung, soweit sie nicht gegenstandslos geworden ist, gutzuheissen. Die Verfügung des BFM ist entsprechend aufzuheben. Die Sache ist an die Vorinstanz zu neuer Entscheidung zurückzuweisen und jene ist anzuweisen, die neuen Tatsachen auf ihre Glaubhaftigkeit und gegebenenfalls auf ihre flüchtlingsrechtliche Relevanz, mithin auf die Frage der konkreten Schutzfähigkeit und bereitschaft der zuständigen türkischen Behörden und die Zugänglichkeit und Effektivität staatlichen Schutzes vor frauenspezifischer Verfolgung in der Türkei zu überprüfen. Gegebenenfalls ist eine inländische Flucht- respektive Schutzalternative zu prüfen.</w:t>
      </w:r>
    </w:p>
    <w:p>
      <w:r>
        <w:rPr>
          <w:b/>
        </w:rPr>
        <w:t>E. 6</w:t>
      </w:r>
    </w:p>
    <w:p>
      <w:r>
        <w:t>Bei diesem Ausgang des Verfahrens sind den Beschwerdeführenden keine Verfahrenskosten aufzuerlegen (Art. 63 Abs. 1 i.V.m. Art. 68 Abs. 2 VwVG VwVG); die mit dem (in Bezug auf die Beschwerdeführenden) aufgehobenen Urteil vom 6. Februar 2009 auferlegten Kosten sind, sofern sie bereits bezahlt worden sind, den Beschwerdeführenden zur Hälfte zurückzuerstatten. Das Gesuch um Gewährung der unentgeltlichen Rechtspflege wird gegenstandslos. Die Beschwerdeinstanz kann der ganz oder teilweise obsiegenden Partei von Amtes wegen oder auf Begehren hin eine Entschädigung für die ihr erwachsenen notwendigen und verhältnismässig hohen Kosten zusprechen (Art. 64 Abs. 1 VwVG i.V. m. Art. 68 Abs. 2 VwVG sowie Art. 7 Abs. 1 und 2 des Reglements vom 21. Februar 2008 über die Kosten und Entschädigungen vor dem Bundesverwaltungsgericht [VGKE, SR 173.320.2]). Seitens der Rechtsvertretung wurde weder im ursprünglichen noch im wieder aufgenommenen Beschwerdeverfahren 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den Beschwerdeführenden eine Parteientschädigung in der Höhe von pauschal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