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E-4049/2016 vom 10. August 2016</w:t>
      </w:r>
    </w:p>
    <w:p>
      <w:r>
        <w:t>Bundesverwaltungsgericht, 2016-08-10, DE</w:t>
      </w:r>
    </w:p>
    <w:p>
      <w:r>
        <w:rPr>
          <w:b/>
        </w:rPr>
        <w:t xml:space="preserve">Quelle: </w:t>
      </w:r>
      <w:r>
        <w:t>https://mcp.opencaselaw.ch/entscheid/bvger_E-4049_2016</w:t>
      </w:r>
    </w:p>
    <w:p>
      <w:r>
        <w:t>FR: TAF E-4049/2016 du 10 août 2016</w:t>
      </w:r>
    </w:p>
    <w:p>
      <w:r>
        <w:t>IT: TAF E-4049/2016 del 10 agosto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Gegenstand des vorliegenden Beschwerdeverfahrens bilden die Flüchtlingseigenschaft des Beschwerdeführers und der Wegweisungsvollzug. Im Asylpunkt wurde die Verfügung vom Beschwerdeführer nicht angefochten.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In Übereinstimmung mit der Vorinstanz und dem Beschwerdeführer geht das Gericht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4.2</w:t>
      </w:r>
    </w:p>
    <w:p>
      <w:r>
        <w:t>Die Vorinstanz kommt in der angefochtenen Verfügung zum Schluss, es sei festzustellen, dass es dem Beschwerdeführer nicht gelungen sei, das Vorliegen von subjektiven Nachfluchtgründen nachzuweisen oder zumindest glaubhaft darzutun. Somit sei auszuschliessen, dass er unter den geltend gemachten Begebenheiten sein Heimatland verlassen habe. So mache er unterschiedliche Angaben dazu, wie er bei der Ausreise nach B._______ gekommen sei und seine Schilderungen seien unsubstantiiert, monoton und würden darüber hinaus kaum Realkennzeichen aufweisen. Seine Äusserungen seien sehr knapp und stereotyp geblieben.</w:t>
      </w:r>
    </w:p>
    <w:p>
      <w:r>
        <w:rPr>
          <w:b/>
        </w:rPr>
        <w:t>E. 4.3</w:t>
      </w:r>
    </w:p>
    <w:p>
      <w:r>
        <w:t>Der Beschwerdeführer wendet dagegen ein, zum Widerspruch bezüglich der Reise nach B._______ sei es wegen eines Missverständnisses gekommen. Zudem habe er den Dolmetscher bei der Anhörung teilweise nicht gut verstanden beziehungsweise dieser habe die Fragen nicht gut übersetzt und erklärt. Seine Vorbringen würden über viele Detailkennzeichen verfügen. Seine Aussagen seien authentisch, glaubwürdig und würden keine gravierenden Widersprüche aufweisen. Im Übrigen zweifle die Vor­instanz nicht an seiner eritreischen Herkunft und Sozialisierung und er sei nicht zu der Kategorie von eritreischen Staatsangehörigen zu zählen, denen die Ausreise erlaubt sei. Hinweise für eine legale Ausreise würden keine vorliegen.</w:t>
      </w:r>
    </w:p>
    <w:p>
      <w:r>
        <w:rPr>
          <w:b/>
        </w:rPr>
        <w:t>E. 4.4</w:t>
      </w:r>
    </w:p>
    <w:p>
      <w:r>
        <w:t>Aufgrund der Akten stimmt das Gericht der Vorinstanz darin zu, dass die Vorbringen des Beschwerdeführers zu seiner angeblich illegalen Ausreise aus Eritrea unglaubhaft sind. Die Beweiswürdigung der Vorinstanz ist nicht zu beanstanden. Zutreffend stellt sie fest, dass sich der Beschwerdeführer bezüglich der Frage, wie er bei seiner Ausreise den Weg zwischen seinem Heimatort und B._______ zurückgelegt habe, widerspricht. So bringt er an der BzP vor, er sei mit dem Autobus nach B._______ gereist (SEM-Akten, A9/11 S. 8), während er in der Anhörung zu Protokoll gibt, er und seine Kollegen seien zu Fuss nach B._______ gegangen (SEM-Akten, A18/22 F180). Weder in der Anhörung noch auf Beschwerdeebene kann er diesen Widerspruch erklären. Dass es dabei zu einem Missverständnis gekommen sei, kann ausgeschlossen werden, waren doch die jeweiligen Fragen klar formuliert. Ausserdem sagte der Beschwerdeführer in der Anhörung, er verstehe den Dolmetscher gut (SEM-Akten, A18/22 F1) und bestätigte ausserdem unterschriftlich die Vollständigkeit und Richtigkeit seiner Aussagen nach der Rückübersetzung Satz für Satz (SEM-Akten, A18/22 S. 21). In der Anhörung bringt der Beschwerdeführer erstmals vor, es sei bei der Grenzüberquerung auf ihn und seine Kollegen geschossen worden (SEM-Akten, A18/22 F194). Dies nachdem er in der BzP noch zu Protokoll gegeben hat, es habe bei seiner Ausreise keine Schwierigkeiten gegeben (SEM-Akten, A9/11 S. 6). Von Schüssen an der Grenze erwähnt er nichts. Es wäre von ihm jedoch zu erwarten gewesen, dass er ein so einschneidendes Erlebnis bereits bei seiner ersten Befragung kundtut. Ebenfalls zutreffend führt die Vorinstanz aus, die Aussagen des Beschwerdeführers zu seiner illegalen Ausreise seien knapp und stereotyp ausgefallen. Auf die offene Frage, er solle schildern, wie er seine Heimat verlassen habe, bringt der Beschwerdeführer einzig vor, er sei über B._______ gegangen (SEM-Akten, A18/22 F160). Auch auf Aufforderung hin, weiter zu erzählen, gibt er lediglich zu Protokoll, er sei dann nach C._______ gegangen und dann über die Grenze (SEM-Akten, A18/22 F161). Der Befrager ist sodann sichtlich bemüht, mehr vom Beschwerdeführer zu erfahren. Dieser antwortet jedoch durchgehen einsilbig und oberflächlich. Realkennzeichen finden sich, entgegen den Behauptungen in der Beschwerde, kaum.</w:t>
      </w:r>
    </w:p>
    <w:p>
      <w:r>
        <w:rPr>
          <w:b/>
        </w:rPr>
        <w:t>E. 4.5</w:t>
      </w:r>
    </w:p>
    <w:p>
      <w:r>
        <w:t>Obwohl der Beschwerdeführer die wahren Umstände seiner Ausreise offensichtlich verheimlicht, lässt sich zwar (angesichts des Alters zur Zeit der Ausreise und in Berücksichtigung der Erwägung 4.1) noch nicht mit Bestimmtheit auf eine legale Ausreise schliessen. Aber sie kann auch nicht ausgeschlossen werden. Sich einzig auf die notorisch schwierige Ausreise zu berufen, ohne die konkreten Ausreisegründe und -umstände auch nur ansatzweise darzutun, reicht nicht aus. Die Partei wird nämlich auch unter der in Erwägung 4.1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und angesichts des vollständigen Fehlens nachvollziehbarer Erklärungen auf Beschwerdeebene festzustellen, dass er das Vorliegen subjektiver Nachfluchtgründen nicht nachzuweisen oder zumindest glaubhaft zu machen vermag. Die Vorinstanz hat deshalb zu Recht die Flüchtlingseigenschaft des Beschwerdeführers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Eritrea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Vollzug der Wegweisung des Beschwerdeführers nach Eritrea ist als zumutbar zu erachten.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E. 7.2 vom 10. Januar 2014 und E-6816/2014 vom 9. Juni 2015). Wie die Vorinstanz zutreffend feststellt, verfügt der Beschwerdeführer in Eritrea über ein familiäres Netz, das ihn bei der Wiedereingliederung behilflich sein kann. So lebte er bis zu seiner Ausreise bei seiner Familie und es ist davon auszugehen, dass er dort wieder einziehen kann. Sodann leben zahlreiche weitere Verwandte in Eritrea. Beim Beschwerdeführer handelt es sich schliesslich um einen jungen gesunden Mann mit 8-jähriger Schulbildung und Erfahrung in der Landwirtschaft, was seine wirtschaftliche Integration zusätzlich begünstigen wird. Der Vollzug der Wegweisung ist somit zumutbar.</w:t>
      </w:r>
    </w:p>
    <w:p>
      <w:r>
        <w:rPr>
          <w:b/>
        </w:rPr>
        <w:t>E. 6.4</w:t>
      </w:r>
    </w:p>
    <w:p>
      <w:r>
        <w:t>Es obliegt dem Beschwerdeführer, sich bei der zuständigen Vertretung seines Heimatstaats die für eine Rückkehr notwendigen Reisedokumente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