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E-4043/2014 vom 6. Januar 2015</w:t>
      </w:r>
    </w:p>
    <w:p>
      <w:r>
        <w:t>Bundesverwaltungsgericht, 2015-01-06, DE</w:t>
      </w:r>
    </w:p>
    <w:p>
      <w:r>
        <w:rPr>
          <w:b/>
        </w:rPr>
        <w:t xml:space="preserve">Quelle: </w:t>
      </w:r>
      <w:r>
        <w:t>https://mcp.opencaselaw.ch/entscheid/bvger_E-4043_2014</w:t>
      </w:r>
    </w:p>
    <w:p>
      <w:r>
        <w:t>FR: TAF E-4043/2014 du 6 janvier 2015</w:t>
      </w:r>
    </w:p>
    <w:p>
      <w:r>
        <w:t>IT: TAF E-4043/2014 del 6 gennaio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des Beschwerdeführers genügend klare, sinngemässe Rechtsbegehren sowie deren Begründung zu entnehmen sind und ohne Weiteres darüber befunden werden kann. Die angefochtene Verfügung vom 14. Mai 2014 wurde von der Botschaft mit Begleitschreiben vom 29. Mai 2014 an den Beschwerdeführer weitergeleitet. Zwar kann den Akten das - für die Einhaltung der Beschwerdefrist massgebliche - Eröffnungsdatum nicht entnommen werden. Angesichts des Poststempels auf der Rechtsmitteleingabe vom 1. Juli 2014 sowie der gesamten Umstände kann aber ohne Weiteres von der Rechtzeitigkeit der Beschwerde ausgegangen werden. Die Beschwerde ist demzufolge frist-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1.3</w:t>
      </w:r>
    </w:p>
    <w:p>
      <w:r>
        <w:t>Auf die Beschwerde ist nach dem Gesagten einzutreten.</w:t>
      </w:r>
    </w:p>
    <w:p>
      <w:r>
        <w:rPr>
          <w:b/>
        </w:rPr>
        <w:t>E. 2</w:t>
      </w:r>
    </w:p>
    <w:p>
      <w:r>
        <w:t>Gestützt auf Art. 33a Abs. 2 VwVG i.V.m. Art. 6 AsylG ergeht der vorliegende Entscheid in deutscher Sprache.</w:t>
      </w:r>
    </w:p>
    <w:p>
      <w:r>
        <w:rPr>
          <w:b/>
        </w:rPr>
        <w:t>E. 3</w:t>
      </w:r>
    </w:p>
    <w:p>
      <w:r>
        <w:t>Die Kognition des Bundesverwaltungsgerichts und die zulässigen Rügen richten sich nach Art. 106 Abs. 1 AsylG.</w:t>
      </w:r>
    </w:p>
    <w:p>
      <w:r>
        <w:rPr>
          <w:b/>
        </w:rPr>
        <w:t>E. 4</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w:t>
      </w:r>
    </w:p>
    <w:p>
      <w:r>
        <w:rPr>
          <w:b/>
        </w:rPr>
        <w:t>E. 5</w:t>
      </w:r>
    </w:p>
    <w:p>
      <w:r>
        <w:t>Gemäss aArt. 19 Abs. 1 AsylG kann ein Asylgesuch im Ausland bei einer schweizerischen Vertretung gestellt werden, welche es mit einem Bericht an das BFM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6.1</w:t>
      </w:r>
    </w:p>
    <w:p>
      <w:r>
        <w:t>Das BFM begründet die Ablehnung des Asylgesuches - unabhängig von der Glaubhaftigkeit der Vorbringen - damit, dass es dem Beschwerdeführer offensichtlich an Schutzbedürftigkeit fehle. Das Bundesverwaltungsgericht kommt nach Würdigung der Aktenlage zum Schluss, dass die vorinstanzlichen Erwägungen im Ergebnis zu bestätigen sind. Der Beschwerdeführer machte im Rahmen des erstinstanzlichen Verfahrens durchwegs Belästigungen seitens unbekannter Personen geltend, er kenne deren Identität nicht, er habe nie gesagt, es seien Sicherheitskräfte oder "home guards", sondern es sei jemand, der mit ihnen zusammenarbeite oder es seien Private, er wisse nicht, wer sie seien; es sei jedenfalls nicht die Regierung, sondern mehr auf einem "persönlichen, individuellen Level" (vgl. u.a. A 11/9 S. 5 f). Ausserdem hat der Beschwerdeführer stets angegeben, den unbekannten Personen nie persönlich begegnet zu sein, sondern von deren Anwesenheit und den angeblichen Drohungen entweder über (...) oder die Nachbarn erfahren zu haben (vgl. A11/9 S. 4). Das BFM hält diesbezüglich zutreffend fest, dass daraus noch nicht auf eine Schutzbedürftigkeit des Beschwerdeführers im massgeblichen Sinne zu schliessen ist, wobei, um Wiederholungen zu vermeiden, auf die entsprechende Begründung in der angefochtenen Verfügung verwiesen werden kann. Dies gilt im Wesentlichen auch in Bezug auf die zuletzt auf Beschwerdeebene geltend gemachten Vorbringen (es seien bewaffnete Personen bei ihm vorbeigekommen und hätten ihm gedroht; sein Haus werde beobachtet und er werde um Geld erpresst), unabhängig davon, ob sie als glaubhaft oder vielmehr als nachgeschoben zu betrachten sind. Ihnen fehlt es schon an der nötigen Intensität, um im Sinne von Art. 3 AsylG relevant zu sein, wobei es zusätzlich auch noch an einem erheblichen Motiv fehlen dürfte, hat doch der Beschwerdeführer selbst angegeben, er vermute vorab finanzielle Motive. Angesichts dessen, dass dem Beschwerdeführer die mutmasslichen Verbindungen zu den LTTE nicht von staatlicher Seite unterschoben werden, sondern den Privatpersonen vielmehr als Erpressungsmittel dienen, ist es dem Beschwerdeführer, wie das BFM zutreffend festhält, möglich und zumutbar, sich diesbezüglich an die staatlichen Behörden oder die HRC zu wenden, zumal es sich bei seiner Äusserung in der Beschwerde, einige Polizisten würden den unbekannten Personen helfen, um eine blosse Vermutung handelt. Von einer aktuellen Gefahr vor Verfolgung im Sinne von Art. 3 AsylG - und nur dies ist vorliegend zu prüfen - ist insgesamt nicht auszugehen.</w:t>
      </w:r>
    </w:p>
    <w:p>
      <w:r>
        <w:rPr>
          <w:b/>
        </w:rPr>
        <w:t>E. 6.2</w:t>
      </w:r>
    </w:p>
    <w:p>
      <w:r>
        <w:t>Nach dem Gesagten ist zusammenfassend festzuhalten, dass der Beschwerdeführer zum jetzigen Zeitpunkt in Sri Lanka keiner Gefährdung im Sinne von Art. 3 AsylG ausgesetzt und damit nicht schutzbedürftig ist. Unter diesen Umständen hat das BFM dem Beschwerdeführer zu Recht die Erteilung der Einreisebewilligung verweigert und sein Asylgesuch abgelehnt, zumal keine weiteren Abklärungen nötig waren.</w:t>
      </w:r>
    </w:p>
    <w:p>
      <w:r>
        <w:rPr>
          <w:b/>
        </w:rPr>
        <w:t>E. 7</w:t>
      </w:r>
    </w:p>
    <w:p>
      <w:r>
        <w:t>Aus diesen Erwägungen ergibt sich, dass die angefochtene Verfügung Bundesrecht nicht verletzt und den rechtserheblichen Sachverhalt richtig und vollständig feststellt (Art. 106 Abs. 1 AsylG). Die Beschwerde ist demnach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