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E-403/2022 vom 3. Februar 2022</w:t>
      </w:r>
    </w:p>
    <w:p>
      <w:r>
        <w:t>Bundesverwaltungsgericht, 2022-02-03, DE</w:t>
      </w:r>
    </w:p>
    <w:p>
      <w:r>
        <w:rPr>
          <w:b/>
        </w:rPr>
        <w:t xml:space="preserve">Quelle: </w:t>
      </w:r>
      <w:r>
        <w:t>https://mcp.opencaselaw.ch/entscheid/bvger_E-403_2022</w:t>
      </w:r>
    </w:p>
    <w:p>
      <w:r>
        <w:t>FR: TAF E-403/2022 du 3 février 2022</w:t>
      </w:r>
    </w:p>
    <w:p>
      <w:r>
        <w:t>IT: TAF E-403/2022 del 3 febbraio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t>E-403/2022 Seite 4</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nachfolgend ausgeführt – als offen- sichtlich unbegründet, weshalb sie im Verfahren einzelrichterlicher Zustän- 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 ständigen Mitgliedstaat zu überstellen, weil es wesentliche Gründe für die</w:t>
      </w:r>
    </w:p>
    <w:p>
      <w:r>
        <w:t>E-403/2022 Seite 5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4</w:t>
      </w:r>
    </w:p>
    <w:p>
      <w:r>
        <w:t>Den Akten zufolge wurden die Beschwerdeführenden am (…) August 2021 in Lettland daktyloskopiert; gleichentags wurden ihre Asylgesuche regis- triert. Die zuständigen lettischen Behörden stimmten dem Wiederaufnah- meersuchen des SEM am 11. Januar 2022 zu (vgl. SEM-act. A33 und A34). Die Beschwerdeführenden bestreiten ihren vorgängigen Aufenthalt in Lett- land nicht. Die grundsätzliche Zuständigkeit Lettlands ist damit gegeben. Es ist an dieser Stelle darauf hinzuweisen, dass die Dublin-III-VO den Schutzsuchenden nicht das Recht einräumt, den ihren Antrag prüfenden Staat selber auszuwählen (vgl. BVGE 2010/45 E. 8.3).</w:t>
      </w:r>
    </w:p>
    <w:p>
      <w:r>
        <w:rPr>
          <w:b/>
        </w:rPr>
        <w:t>E. 5</w:t>
      </w:r>
    </w:p>
    <w:p>
      <w:r>
        <w:t>Die Beschwerdeführenden rügen in ihrer Rechtsmitteleingabe, das Leben in Lettland sei nicht gut gewesen. Es habe keine Betreuung für die Kinder gegeben. Ihre Kinder seien ohne Beschäftigung quasi eingesperrt gewe- sen. Für die ärztliche Behandlung hätten sie kein Geld gehabt. Für die Zu- kunft ihrer Kinder würden sie in der Schweiz bleiben wollen. In Lettland habe der Beschwerdeführer schriftlich versprechen müssen, nicht mehr dorthin zurückzukehren, sonst müsse er ins Gefängnis.</w:t>
      </w:r>
    </w:p>
    <w:p>
      <w:r>
        <w:t>E-403/2022 Seite 6</w:t>
      </w:r>
    </w:p>
    <w:p>
      <w:r>
        <w:rPr>
          <w:b/>
        </w:rPr>
        <w:t>E. 6.1</w:t>
      </w:r>
    </w:p>
    <w:p>
      <w:r>
        <w:t>Lettland ist Signatarstaat der EMRK, des Übereinkommens vom</w:t>
      </w:r>
    </w:p>
    <w:p>
      <w:r>
        <w:rPr>
          <w:b/>
        </w:rPr>
        <w:t>E. 6.2</w:t>
      </w:r>
    </w:p>
    <w:p>
      <w:r>
        <w:t>Die Anwendung von Art. 3 Abs. 2 Dublin-III-VO fällt demnach nicht in Betracht. 7. 7.1 Eine Anwendung der Ermessensklausel von Art. 17 Abs. 1 Dublin-III- VO respektive der – das Selbsteintrittsrecht im Landesrecht konkretisieren- den – Bestimmung von Art. 29a Abs. 3 AsylV 1 ist im vorliegenden Fall ebenfalls nicht angezeigt. 7.2 Es gilt die Vermutung, dass Lettland – als Dublin-Mitgliedstaat – bei der Durchführung des Asyl- und Wegweisungsverfahrens die einschlägigen völkerrechtlichen Verpflichtungen respektiert. Die Beschwerdeführenden bringen nichts vor, was diese Vermutung widerlegen könnte. So haben sie namentlich kein konkretes und ernsthaftes Risiko dargetan, wonach sich die lettischen Behörden weigern würden, sie wiederaufzunehmen und ihre</w:t>
      </w:r>
    </w:p>
    <w:p>
      <w:r>
        <w:t>E-403/2022 Seite 7 Anträge auf Schutz unter Einhaltung der Regeln der Verfahrensrichtlinie zu prüfen. Die in der Rechtsmitteleingabe geäusserte Befürchtung des Be- schwerdeführers, er würde aufgrund eines von ihm unterzeichneten Doku- ments bei der Wiedereinreise inhaftiert, ist als unbegründet zu erachten, da die Beschwerdeführenden nicht illegal, sondern als Dublin-Rückkehrer und damit rechtmässig in Lettland einreisen würden. Den Akten sind ferner auch keine Gründe für die Annahme zu entnehmen, Lettland werde in ih- rem Fall den Grundsatz des Non-Refoulement missachten und sie zur Aus- reise in ein Land zwingen, in dem ihr Leib, ihr Leben oder ihre Freiheit aus einem Grund nach Art. 3 Abs. 1 AsylG gefährdet ist oder in dem sie Gefahr laufen würden, zur Ausreise in ein solches Land gezwungen zu werden. Ausserdem haben die Beschwerdeführenden nicht konkret dargetan, die bei einer Rückführung zu erwartenden Bedingungen in Lettland seien der- art schlecht, dass sie zu einer Verletzung von Art. 4 der EU-Grund- rechtecharta, Art. 3 EMRK oder Art. 3 FoK führen könnten. Ebenso wenig bestehen fundierte Hinweise darauf, dass Lettland ihnen dauerhaft die ihnen gemäss Aufnahmerichtlinie zustehenden minimalen Lebensbedin- gungen vorenthalten würde. So haben die Beschwerdeführenden denn auch nicht geltend gemacht, sie hätten sich in Lettland in einer existenziel- len Notlage befunden. 7.3 Bezüglich der von der Beschwerdeführerin anlässlich des Dublin-Ge- sprächs geltend gemachten Probleme mit den Weisheitszähnen, welche sie in Lettland aus finanziellen Gründen nicht habe behandeln lassen kön- nen, ist darauf hinzuweisen, dass Lettland über eine ausreichende medizi- nische Infrastruktur verfügt und gemäss Art. 19 Abs. 1 Aufnahmerichtlinie verpflichtet ist, Antragstellenden die erforderliche medizinische Versor- gung, die zumindest die Notversorgung und die unbedingt erforderliche Be- handlung von Krankheiten und schweren psychischen Störungen umfasst, zugänglich zu machen. Seit dem Jahr 2018 haben Asylsuchende denn auch Anspruch auf medizinische Grundversorgung, und es steht ihnen in diesem Zusammenhang ein kostenloser Übersetzungsdienst zur Verfü- gung (vgl. Migrant Integration Policy Index 2020, Latvia; https://www. mipex.eu/latvia; zuletzt besucht am 2. Februar 2022). Es gibt keinen Grund zur Annahme, dass den Beschwerdeführenden in Lettland die notwendige medizinische Behandlung verweigert werden würde. 7.4 Soweit die Beschwerdeführenden geltend machen, ihre Kinder hätten in Lettland keine Zukunft, weil es dort für sie keine Betreuungs- und Be- schäftigungsmöglichkeiten gegeben hätte, ist darauf hinzuweisen, dass Lettland Signatarstaat des Übereinkommens vom 20. November 1989</w:t>
      </w:r>
    </w:p>
    <w:p>
      <w:r>
        <w:t>E-403/2022 Seite 8 über die Rechte des Kindes (KRK, SR 0.107) ist und keine Hinweise dafür vorliegen, dass sich das Land diesbezüglich nicht an seine völkerrechtli- chen Verpflichtungen hält. Auch die Ausführungen in der Rechtsmittelein- gabe sind nicht geeignet, eine Verletzung des Kindeswohls aufzuzeigen, zumal grundsätzlich nicht zu beanstanden ist, dass die Betreuung der bei- den (…)- und (…)jährigen – im Zeitpunkt ihres Aufenthaltes in Lettland so- mit noch nicht schulpflichtigen – Kinder in erster Linie den Eltern überlas- sen wurde. Die von den Beschwerdeführenden geäusserten Befürchtun- gen betreffend die Zukunft ihrer Kinder sind rein hypothetischer Natur und stehen einer Überstellung nach Lettland nicht entgegen. 7.5 Demnach ist die Überstellung der Beschwerdeführenden nach Lettland ohne weiteres als zulässig zu erachten. 7.6 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5 ff. der angefochtenen Verfügung) und damit seinen Ermessensspielraum genutzt. Das Gericht enthält sich daher in diesem Zusammenhang weiterer Äusserungen. 7.7 Nach dem Gesagten bleibt Lettland der für die Behandlung der Asylge- suche der Beschwerdeführenden zuständige Mitgliedstaat gemäss Dublin- III-VO. 8. Das SEM ist demnach zu Recht in Anwendung von Art. 31a Abs. 1 Bst. b AsylG auf die Asylgesuche der Beschwerdeführenden nicht eingetreten. Da diese nicht im Besitz von gültigen Aufenthalts- oder Niederlassungsbe- willigungen sind, wurde die Überstellung nach Lettland in Anwendung von Art. 44 AsylG ebenfalls zu Recht angeordnet (Art. 32 Bst. a AsylV 1). 9. Die Beschwerde ist demnach abzuweisen.</w:t>
      </w:r>
    </w:p>
    <w:p>
      <w:r>
        <w:rPr>
          <w:b/>
        </w:rPr>
        <w:t>E. 7.1</w:t>
      </w:r>
    </w:p>
    <w:p>
      <w:r>
        <w:t>Eine Anwendung der Ermessensklausel von Art. 17 Abs. 1 Dublin-III-VO respektive der - das Selbsteintrittsrecht im Landesrecht konkretisierenden - Bestimmung von Art. 29a Abs. 3 AsylV 1 ist im vorliegenden Fall ebenfalls nicht angezeigt.</w:t>
      </w:r>
    </w:p>
    <w:p>
      <w:r>
        <w:rPr>
          <w:b/>
        </w:rPr>
        <w:t>E. 7.2</w:t>
      </w:r>
    </w:p>
    <w:p>
      <w:r>
        <w:t>Es gilt die Vermutung, dass Lettland - als Dublin-Mitgliedstaat - bei der Durchführung des Asyl- und Wegweisungsverfahrens die einschlägigen völkerrechtlichen Verpflichtungen respektiert. Die Beschwerdeführenden bringen nichts vor, was diese Vermutung widerlegen könnte. So haben sie namentlich kein konkretes und ernsthaftes Risiko dargetan, wonach sich die lettischen Behörden weigern würden, sie wiederaufzunehmen und ihre Anträge auf Schutz unter Einhaltung der Regeln der Verfahrensrichtlinie zu prüfen. Die in der Rechtsmitteleingabe geäusserte Befürchtung des Beschwerdeführers, er würde aufgrund eines von ihm unterzeichneten Dokuments bei der Wiedereinreise inhaftiert, ist als unbegründet zu erachten, da die Beschwerdeführenden nicht illegal, sondern als Dublin-Rückkehrer und damit rechtmässig in Lettland einreisen würden. Den Akten sind ferner auch keine Gründe für die Annahme zu entnehmen,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konkret dargetan, die bei einer Rückführung zu erwartenden Bedingungen in Lettland seien derart schlecht, dass sie zu einer Verletzung von Art. 4 der EU-Grundrechtecharta, Art. 3 EMRK oder Art. 3 FoK führen könnten. Ebenso wenig bestehen fundierte Hinweise darauf, dass Lettland ihnen dauerhaft die ihnen gemäss Aufnahmerichtlinie zustehenden minimalen Lebensbedingungen vorenthalten würde. So haben die Beschwerdeführenden denn auch nicht geltend gemacht, sie hätten sich in Lettland in einer existenziellen Notlage befunden.</w:t>
      </w:r>
    </w:p>
    <w:p>
      <w:r>
        <w:rPr>
          <w:b/>
        </w:rPr>
        <w:t>E. 7.3</w:t>
      </w:r>
    </w:p>
    <w:p>
      <w:r>
        <w:t>Bezüglich der von der Beschwerdeführerin anlässlich des Dublin-Gesprächs geltend gemachten Probleme mit den Weisheitszähnen, welche sie in Lettland aus finanziellen Gründen nicht habe behandeln lassen können, ist darauf hinzuweisen, dass Lettland über eine ausreichende medizinische Infrastruktur verfügt und gemäss Art. 19 Abs. 1 Aufnahmerichtlinie verpflichtet ist, Antragstellenden die erforderliche medizinische Versorgung, die zumindest die Notversorgung und die unbedingt erforderliche Behandlung von Krankheiten und schweren psychischen Störungen umfasst, zugänglich zu machen. Seit dem Jahr 2018 haben Asylsuchende denn auch Anspruch auf medizinische Grundversorgung, und es steht ihnen in diesem Zusammenhang ein kostenloser Übersetzungsdienst zur Verfügung (vgl. Migrant Integration Policy Index 2020, Latvia; https://www.mipex.eu/latvia; zuletzt besucht am 2. Februar 2022). Es gibt keinen Grund zur Annahme, dass den Beschwerdeführenden in Lettland die notwendige medizinische Behandlung verweigert werden würde.</w:t>
      </w:r>
    </w:p>
    <w:p>
      <w:r>
        <w:rPr>
          <w:b/>
        </w:rPr>
        <w:t>E. 7.4</w:t>
      </w:r>
    </w:p>
    <w:p>
      <w:r>
        <w:t>Soweit die Beschwerdeführenden geltend machen, ihre Kinder hätten in Lettland keine Zukunft, weil es dort für sie keine Betreuungs- und Beschäftigungsmöglichkeiten gegeben hätte, ist darauf hinzuweisen, dass Lettland Signatarstaat des Übereinkommens vom 20. November 1989 über die Rechte des Kindes (KRK, SR 0.107) ist und keine Hinweise dafür vorliegen, dass sich das Land diesbezüglich nicht an seine völkerrechtlichen Verpflichtungen hält. Auch die Ausführungen in der Rechtsmitteleingabe sind nicht geeignet, eine Verletzung des Kindeswohls aufzuzeigen, zumal grundsätzlich nicht zu beanstanden ist, dass die Betreuung der beiden (...)- und (...)jährigen - im Zeitpunkt ihres Aufenthaltes in Lettland somit noch nicht schulpflichtigen - Kinder in erster Linie den Eltern überlassen wurde. Die von den Beschwerdeführenden geäusserten Befürchtungen betreffend die Zukunft ihrer Kinder sind rein hypothetischer Natur und stehen einer Überstellung nach Lettland nicht entgegen.</w:t>
      </w:r>
    </w:p>
    <w:p>
      <w:r>
        <w:rPr>
          <w:b/>
        </w:rPr>
        <w:t>E. 7.5</w:t>
      </w:r>
    </w:p>
    <w:p>
      <w:r>
        <w:t>Demnach ist die Überstellung der Beschwerdeführenden nach Lettland ohne weiteres als zulässig zu erachten.</w:t>
      </w:r>
    </w:p>
    <w:p>
      <w:r>
        <w:rPr>
          <w:b/>
        </w:rPr>
        <w:t>E. 7.6</w:t>
      </w:r>
    </w:p>
    <w:p>
      <w:r>
        <w:t>Bei der Anwendung der Kann-Bestimmung von Art. 29a Abs. 3 AsylV 1 verfügt das SEM über einen Ermessensspielraum (vgl. BVGE 2015/9 E. 7 f.). Vorliegend bestehen keine Hinweise auf eine nicht gesetzeskonforme Ausübung des Ermessens. Das SEM hat ausführlich und in nachvollziehbarer Weise dargelegt, weshalb es eine Anwendung von Art. 29a Abs. 3 AsylV 1 im vorliegenden Fall nicht als angezeigt erachtet (vgl. S. 5 ff. der angefochtenen Verfügung) und damit seinen Ermessensspielraum genutzt. Das Gericht enthält sich daher in diesem Zusammenhang weiterer Äusserungen.</w:t>
      </w:r>
    </w:p>
    <w:p>
      <w:r>
        <w:rPr>
          <w:b/>
        </w:rPr>
        <w:t>E. 7.7</w:t>
      </w:r>
    </w:p>
    <w:p>
      <w:r>
        <w:t>Nach dem Gesagten bleibt Lettland der für die Behandlung der Asylgesuche der Beschwerdeführenden zuständige Mitgliedstaat gemäss Dublin-III-VO.</w:t>
      </w:r>
    </w:p>
    <w:p>
      <w:r>
        <w:rPr>
          <w:b/>
        </w:rPr>
        <w:t>E. 8</w:t>
      </w:r>
    </w:p>
    <w:p>
      <w:r>
        <w:t>Das SEM ist demnach zu Recht in Anwendung von Art. 31a Abs. 1 Bst. b AsylG auf die Asylgesuche der Beschwerdeführenden nicht eingetreten. Da diese nicht im Besitz von gültigen Aufenthalts- oder Niederlassungsbewilligungen sind, wurde die Überstellung nach Lettland in Anwendung von Art. 44 AsylG ebenfalls zu Recht angeordnet (Art. 32 Bst. a AsylV 1).</w:t>
      </w:r>
    </w:p>
    <w:p>
      <w:r>
        <w:rPr>
          <w:b/>
        </w:rPr>
        <w:t>E. 9</w:t>
      </w:r>
    </w:p>
    <w:p>
      <w:r>
        <w:t>Die Beschwerde ist demnach abzuweisen.</w:t>
      </w:r>
    </w:p>
    <w:p>
      <w:r>
        <w:rPr>
          <w:b/>
        </w:rPr>
        <w:t>E. 10</w:t>
      </w:r>
    </w:p>
    <w:p>
      <w:r>
        <w:t>Das Beschwerdeverfahren ist mit vorliegendem Urteil abgeschlossen, wes-</w:t>
      </w:r>
    </w:p>
    <w:p>
      <w:r>
        <w:t>E-403/2022 Seite 9 halb sich der Antrag auf Gewährung der aufschiebenden Wirkung als ge- genstandslos erweist. Der am 27. Januar 2022 angeordnete Vollzugsstopp fällt mit dem vorliegenden Urteil dahin.</w:t>
      </w:r>
    </w:p>
    <w:p>
      <w:r>
        <w:rPr>
          <w:b/>
        </w:rPr>
        <w:t>E. 11</w:t>
      </w:r>
    </w:p>
    <w:p>
      <w:r>
        <w:t>Es verbleibt der Entscheid über die Verfahrenskosten und eine allfällige Entschädigung. Diese sind nach Massgabe des Unterliegens respektive Obsiegens zu berechnen (Art. 63 Abs. 1 und Art. 64 Abs. 1 VwVG).</w:t>
      </w:r>
    </w:p>
    <w:p>
      <w:r>
        <w:rPr>
          <w:b/>
        </w:rPr>
        <w:t>E. 11.1</w:t>
      </w:r>
    </w:p>
    <w:p>
      <w:r>
        <w:t>Die Behandlung des Gesuchs um Verzicht auf die Erhebung eines Kostenvorschusses erübrigt sich mit dem vorliegenden abschliessenden Urteil in der Sache.</w:t>
      </w:r>
    </w:p>
    <w:p>
      <w:r>
        <w:rPr>
          <w:b/>
        </w:rPr>
        <w:t>E. 11.2</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den Beschwer- deführenden aufzuerlegen und auf insgesamt Fr. 750.– festzusetzen (Art. 1–3 des Reglements vom 21. Februar 2008 über die Kosten und Ent- schädigungen vor dem Bundesverwaltungsgericht [VGKE, SR 173.320.2]).</w:t>
      </w:r>
    </w:p>
    <w:p>
      <w:r>
        <w:t>(Dispositiv nächste Seite)</w:t>
      </w:r>
    </w:p>
    <w:p>
      <w:r>
        <w:t>E-403/2022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