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E-4038/2014 vom 12. August 2014</w:t>
      </w:r>
    </w:p>
    <w:p>
      <w:r>
        <w:t>Bundesverwaltungsgericht, 2014-08-12, DE</w:t>
      </w:r>
    </w:p>
    <w:p>
      <w:r>
        <w:rPr>
          <w:b/>
        </w:rPr>
        <w:t xml:space="preserve">Quelle: </w:t>
      </w:r>
      <w:r>
        <w:t>https://mcp.opencaselaw.ch/entscheid/bvger_E-4038_2014</w:t>
      </w:r>
    </w:p>
    <w:p>
      <w:r>
        <w:t>FR: TAF E-4038/2014 du 12 août 2014</w:t>
      </w:r>
    </w:p>
    <w:p>
      <w:r>
        <w:t>IT: TAF E-4038/2014 del 12 agosto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Übersetzung kann jedoch praxisgemäss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1.4</w:t>
      </w:r>
    </w:p>
    <w:p>
      <w:r>
        <w:t>Die Beschwerde ist demnach frist- und - bis auf den sprachlichen Mangel - formgerecht eingereicht (Art. 108 Abs. 1 AsylG, Art. 6 AsylG i.V.m. Art. 52 VwVG). Die Beschwerdeführerin hat am Verfahren vor der Vorinstanz teilgenommen, ist durch die angefochtene Verfügung besonders berührt und hat ein schutzwürdiges Interesse an deren Aufhebung bzw. Änderung. Sie ist daher zur Einreichung der Beschwerde legitimiert (Art. 105 AsylG; Art. 48 Abs. 1 sowie Art. 52 Abs. 1 VwVG). Auf die Beschwerde ist einzutreten.</w:t>
      </w:r>
    </w:p>
    <w:p>
      <w:r>
        <w:rPr>
          <w:b/>
        </w:rPr>
        <w:t>E. 1.5</w:t>
      </w:r>
    </w:p>
    <w:p>
      <w:r>
        <w:t>Gestützt auf Art. 111a AsylG wurde vorliegend auf die Durchführung eines Schriftenwechsels verzichtet.</w:t>
      </w:r>
    </w:p>
    <w:p>
      <w:r>
        <w:rPr>
          <w:b/>
        </w:rPr>
        <w:t>E. 2</w:t>
      </w:r>
    </w:p>
    <w:p>
      <w:r>
        <w:t>Die Kognition des Bundesverwaltungsgerichts bestimmt sich im Asylbereich nach Art. 106 Abs. 1 AsylG.</w:t>
      </w:r>
    </w:p>
    <w:p>
      <w:r>
        <w:rPr>
          <w:b/>
        </w:rPr>
        <w:t>E. 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Art. 19 f., Art. 41 Abs. 2, Art. 52 und Art. 68 AsylG in der bisherigen Fassung gelten.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aArt. 19 Abs. 1 AsylG kann ein Asylgesuch im Ausland bei einer schweizerischen Vertretung gestellt werden, die es mit einem Bericht an das BFM überweist (aArt. 20 Abs. 1 AsylG), welches über die Bewilligung der Einreise zur Abklärung des Sachverhalts entscheidet. Nach aArt. 20 Abs. 2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und E. 5.1).</w:t>
      </w:r>
    </w:p>
    <w:p>
      <w:r>
        <w:rPr>
          <w:b/>
        </w:rPr>
        <w:t>E. 5.1</w:t>
      </w:r>
    </w:p>
    <w:p>
      <w:r>
        <w:t>Die Beschwerdeführerin wurde gemäss ihren Angaben erstmals im Jahr 2006 von den LTTE zwangsrekrutiert und erhielt verschiedene Trainings, obwohl ihre Schwester H._______ schon im Jahr 1995 der Organisation beigetreten sei (ihr Bruder I._______, bzw. ihre Schwester J._______ seien 2008, bzw. 2007 gefolgt). Dabei habe sie den Namen K._______ getragen, sei Mitglied der L._______ gewesen und habe an verschiedenen Kämpfen auf dem Feld teilgenommen (A13 S. 5 f. und 8). Im Dezember 2007 sei sie wieder entlassen worden (A13 S. 8). Am (...) 2009 sei sie nochmals von den LTTE für ein dreimonatiges Training angehalten worden; diesmal habe sie der (...) Division angehört (A13 S. 5 und 7). Nach der Beendigung des Krieges ergab sie sich als einzige ihrer Geschwister und wurde am (...) 2009 ins C._______ Camp in Vavuniya geführt, wo man sie über die LTTE ausfragte - indes sei ihr während den Befragungen nichts Nennenswertes geschehen (A13 S. 9). Seit ihrer Entlassung am (...) 2010 werde sie hingegen ständig belästigt, indem sie gemäss den Entlassungsauflagen Unterschriften im M._______ Camp leisten müsse und dabei teilweise zur Anhörung zum Military Commander berufen werde, wobei sie dann bis zu vier Stunden warten müsse. In den letzten zwei Jahren sei dies ca. zehn Mal geschehen. Jedes Mal werde sie von ihren Eltern aus Sorge begleitet. Da sie unverheiratet sei, fürchte sie sich vor einer Rekrutierung durch die sri-lankische Armee oder vor einer Verheiratung mit einem singhalesischen Mann (A13 S. 9 f.). Indes habe sie die Schreiben der schweizerischen Botschaft - entgegen ihrer Aussage in einem Brief vom 10. März 2014 - nie den Behörden in Sri Lanka gezeigt (A13 S. 11).</w:t>
      </w:r>
    </w:p>
    <w:p>
      <w:r>
        <w:rPr>
          <w:b/>
        </w:rPr>
        <w:t>E. 5.2</w:t>
      </w:r>
    </w:p>
    <w:p>
      <w:r>
        <w:t>Das Bundesverwaltungsgericht gelangt nach eingehender Prüfung der Akten in Übereinstimmung mit dem BFM zum Schluss, dass die Vorbringen der Beschwerdeführerin die Intensität einer asylrelevanten Verfolgung nicht zu erreichen vermögen und somit als nicht einreiserelevant einzustufen sind.</w:t>
      </w:r>
    </w:p>
    <w:p>
      <w:r>
        <w:rPr>
          <w:b/>
        </w:rPr>
        <w:t>E. 5.2.1</w:t>
      </w:r>
    </w:p>
    <w:p>
      <w:r>
        <w:t>Nach Kriegsende wurde die Beschwerdeführerin im C._______ Camp festgehalten, wo man sie intensiv verhört habe. Mitten in der Nacht seien die Aufpasser gekommen, um zu schauen, ob niemand geflohen sei. Indes sei nie etwas Schwerwiegendes vorgefallen (A13 S. 9). Dieser Aufenthalt liegt - sie wurde am (...) 2010 ohne grössere Probleme entlassen - schon vier Jahre zurück. Zudem wurde sie gemäss ihren eigenen Angaben nicht misshandelt. Allein aufgrund dieser Festhaltung lässt sich folglich zum heutigen Zeitpunkt keine asylrelevante Verfolgung ableiten.</w:t>
      </w:r>
    </w:p>
    <w:p>
      <w:r>
        <w:rPr>
          <w:b/>
        </w:rPr>
        <w:t>E. 5.2.2</w:t>
      </w:r>
    </w:p>
    <w:p>
      <w:r>
        <w:t>Seit ihrer Entlassung aus dem (...) Camp, für welches sie sich freiwillig gemeldet habe, sei sie - so die Beschwerdeführerin - Behelligungen ausgesetzt, welche ernsthafte Nachteile darstellen würden. Ihre Entlassungsauflagen bestehen darin, sich - wenn sie aufgefordert wird - im M._______ Camp zu melden und ihre Anwesenheit durch eine Unterschrift zu bestätigen. Teilweise werde sie zum Military Commander geführt, welcher sie befrage (A13 S. 9). Eine vermutete oder tatsächliche frühere Verbindung zu den LTTE kann Personen Behandlungen aussetzen, welche den Bedarf an internationalen Flüchtlingsschutz nach sich ziehen können - allerdings sind Schutzmassnahmen abhängig von individuellen Umständen des Einzelfalles (vgl. UNHCR, UNHCR-Richtlinien zur Feststellung des internationalen Schutzbedarfs srilankischer Asylsuchender, Dezember 2012, S. 29; BVGE 2011/24). Gemäss Angaben der Beschwerdeführerin sei sie entlassen worden, weil sie als eine Unverdächtige gegolten habe (A1). Es handelt sich bei ihr um eine aus der (...) entlassene Person, welche gewissen Entlassungsauflagen unterliegt (vgl. UNHCR, a.a.O., S. 30). Zu den individuellen Auflagen der Beschwerdeführerin gehört eine strenge Meldepflicht, welche in Zusammenhang mit der Beendigung des Bürgerkrieges zu sehen ist. Teilweise wird sie vom Military Commander befragt und überlang - bis zu vier Stunden - festgehalten. Zudem werde sie täglich auf der Strasse von Unbekannten verfolgt (A1). Das Bundesverwaltungsgericht anerkennt, dass diese - mutmasslich in unregelmässigen Abständen stattfindende - Pflicht und Behelligungen der Beschwerdeführerin für sie sehr beängstigend wirken, insbesondere da sie einer gewissen Willkür ausgesetzt ist. Nichtsdestotrotz haben diese Massnahmen seit ihrer Entlassung am (...) 2010 noch nie ein Ausmass angenommen, welches aus asylrechtlicher Sicht für eine Einreisebewilligung relevant wäre. Es ist zudem kein Grund erkennbar, weshalb sie künftig mit schwerwiegenderen Verfolgungsmassnahmen zu rechnen hätte. Folglich sind mangels Intensität keine ernsthaften Nachteile erkennbar.</w:t>
      </w:r>
    </w:p>
    <w:p>
      <w:r>
        <w:rPr>
          <w:b/>
        </w:rPr>
        <w:t>E. 5.2.3</w:t>
      </w:r>
    </w:p>
    <w:p>
      <w:r>
        <w:t>Die Befürchtung der Beschwerdeführerin, sie werde als alleinstehende Frau von der sri-lankischen Armee rekrutiert oder mit einem singhalesischen Mann verheiratet, stellt eine blosse Vermutung dar, welche indes auf nichts Konkretem und Substanziiertem beruht.</w:t>
      </w:r>
    </w:p>
    <w:p>
      <w:r>
        <w:rPr>
          <w:b/>
        </w:rPr>
        <w:t>E. 5.3</w:t>
      </w:r>
    </w:p>
    <w:p>
      <w:r>
        <w:t>Zusammenfassend ist festzuhalten, dass es der Beschwerdeführerin weder gelungen ist, eine unmittelbare Gefahr aus einem Grund nach Art. 3 AsylG glaubhaft zu machen, noch dass weitere Abklärungen notwendig wären, während denen ihr ein weiterer Verbleib in Sri Lanka nicht zumutbar wäre. Sie ist nicht auf den Schutz der Schweiz angewiesen. Die Vorinstanz hat demnach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der Beschwerde-führerin aufzuerlegen (Art. 63 Abs. 1 VwVG). Aus verwaltungsökonomischen Gründen und in Anwendung von Art. 6 Bst. b des Reglements vom 21. Februar 2008 über die Kosten und Entschädigungen vor dem Bundesverwaltungsgericht (VGKE, SR 173.320.2) ist im vorliegenden Fall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