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E-4033/2012 vom 23. April 2013</w:t>
      </w:r>
    </w:p>
    <w:p>
      <w:r>
        <w:t>Bundesverwaltungsgericht, 2013-04-23, DE</w:t>
      </w:r>
    </w:p>
    <w:p>
      <w:r>
        <w:rPr>
          <w:b/>
        </w:rPr>
        <w:t xml:space="preserve">Quelle: </w:t>
      </w:r>
      <w:r>
        <w:t>https://mcp.opencaselaw.ch/entscheid/bvger_E-4033_2012</w:t>
      </w:r>
    </w:p>
    <w:p>
      <w:r>
        <w:t>FR: TAF E-4033/2012 du 23 avril 2013</w:t>
      </w:r>
    </w:p>
    <w:p>
      <w:r>
        <w:t>IT: TAF E-4033/2012 del 23 aprile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Eine asylsuchende Person erfüllt die Flüchtlingseigenschaft nach Art. 3 AsylG, wenn sie Nachteile von bestimmter Intensität erlitten hat beziehungsweise solche mit beachtlicher Wahrscheinlichkeit und in absehbarer Zukunft begründeterweise befürchten muss. Es müssen Nachteile sein, die ihr gezielt und aufgrund bestimmter Verfolgungsmotive durch Organe des Heimatstaates oder durch nichtstaatliche Akteure zugefügt worden sind oder drohen (vgl. BVGE 2008/4 E. 5.2). Begründete Furcht vor drohender Verfolgung liegt vor, wenn konkreter Anlass zur Annahme besteht, eine Verfolgung hätte sich mit beachtlicher Wahrscheinlichkeit und in absehbarer Zeit verwirklicht oder werde sich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2010/57 E. 2.5, BVGE 2010/44 E. 3.4).</w:t>
      </w:r>
    </w:p>
    <w:p>
      <w:r>
        <w:rPr>
          <w:b/>
        </w:rPr>
        <w:t>E. 3.2</w:t>
      </w:r>
    </w:p>
    <w:p>
      <w:r>
        <w:t>Die Vorinstanz begründet in der angefochtenen Verfügung einlässlich, weshalb sie die Vorbringen des Beschwerdeführers für widersprüchlich, unsubstantiiert und in einer Gesamtwürdigung für unglaubhaft erachtet. Der Beschwerdeführer zeigt nicht auf, inwiefern die angefochtene Verfügung Bundesrecht verletzen oder auf einer fehlerhaften Sachverhaltsfeststellung beruhen soll. Solches ist auch nicht ersichtlich. So trifft zu, dass seine Angaben teils widersprüchlich, pauschal und substanzarm ausgefallen sind und die geschilderten Vorfälle als unglaubhaft zu würdigen sind. Es kann vorab auf die zutreffenden vorinstanzlichen Erwägungen verwiesen werden. Ergänzend dazu ist festzuhalten, dass sein Vorbringen auf Beschwerdeebene, es habe Probleme mit der Übersetzung gegeben, weil diese in einem anderen Dialekt erfolgt sei und er befürchtet habe, seine Schilderungen könnten fehlerhaft erscheinen, unbehelflich ist. Anhand des Anhörungsprotokolls geht hervor, dass er auf die Frage, wie er den Dolmetscher verstehe, mit "gut" geantwortet hat. Er wäre gehalten gewesen, explizit auf Verständigungsprobleme hinzuweisen. Im Protokoll findet sich kein entsprechender Hinweis, weshalb das nachgeschobenen Vorbringen unglaubhaft ist. Der Beschwerdeführer bringt weiter vor, dass er von der Polizei keine Unterstützung erwarten könne. Hierzu ist festzuhalten, dass er eigenen Angaben zufolge noch nie eine Meldung bei der Polizei getätigt hat und er sich, falls sich seine Befürchtungen bewahrheiten würden, immer noch mit rechtlichen Schritten gegen eine allfällige unrechtmässige Nichtanhandnahme zur Wehr setzen könnte. Das Bundesverwaltungsgericht geht denn auch grundsätzlich vom Schutzwillen und von der Schutzfähigkeit der mazedonischen Sicherheitsbehörden aus. Schliesslich ist es zwar durchaus glaubhaft, dass er aufgrund seiner Ethnie und sexuellen Orientierung Opfer von Schikanen und Diskriminierungen wurde. Diese stellen jedoch Übergriffe Dritter ohne politischen Hintergrund dar und sind deshalb grundsätzlich nicht asylrelevant. Auch seinem Vorbringen auf Beschwerdeebene, dass die Diskriminierungen auch von Staatsangestellten ausgingen, kann nicht gefolgt werden. Es bleibt äusserst pauschal und abstrakt. Er zeigt mit keinem Wort auf, inwiefern ihm konkrete Nachteile von flüchtlingsrelevanter Intensität drohen. In Übereinstimmung mit der Vorinstanz ist festzustellen, dass die vorgebrachten Fluchtgründe nicht glaubhaft bzw. nicht asylrelevant sind. An diesem Ergebnis vermag der nachgereichte undatierte Brief von B._______, der wenig aussagekräftig ist, nichts zu ändern. Die Vorinstanz hat zutreffend erkannt, dass dem Beschwerdeführer die Flüchtlingseigenschaft nicht zukommt, und sein Asylgesuch zu Recht abgelehnt.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In Mazedonien herrscht keine Situation allgemeiner Gewalt, weswegen der Vollzug der Wegweisung grundsätzlich zumutbar ist. Der Beschwerdeführer bringt indes vor, dass der Vollzug aus gesundheitlichen Gründen nicht zumutbar sei. Er leide aufgrund der Zurückweisung und der diskriminierenden Erlebnisse an Depressionen. Dem von ihm eingereichten ärztlichen Bericht des (...) ist zu entnehmen, dass er an einer mittelgradigen depressiven Episode mit somatischem Syndrom leide. Diesbezüglich ist festzuhalten, dass sich aus den Akten keine Anzeichen dafür ergeben, dass der Vollzug der Wegweisung zu einer konkreten Gefährdung des Beschwerdeführers führen würde und dass er die im Bericht empfohlene medikamentöse Behandlung der Depression auch in seinem Heimatland durchführen kann. Ansonsten handelt es sich beim Beschwerdeführer um einen gesunden erwachsenen Mann, der zweifelsohne über ein familiäres und soziales Netz verfügt, welches ihn bei seiner Rückkehr ins Heimatland unterstützen wird. Zusammenfassend ist festzuhalten, dass weder die allgemeine Lage in Mazedonien noch individuelle Gründe auf eine konkrete Gefährdung im Falle einer Rückkehr des Beschwerdeführers schliessen lassen. Der Vollzug der Wegweisung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5.5</w:t>
      </w:r>
    </w:p>
    <w:p>
      <w:r>
        <w:t>Die Vorinstanz hat den Wegweisungsvollzug zusammenfassend zu Recht als zulässig, zumutbar und möglich erachtet, weshalb die Anordnung der vorläufigen Aufnahme ausser Betracht fällt.</w:t>
      </w:r>
    </w:p>
    <w:p>
      <w:r>
        <w:rPr>
          <w:b/>
        </w:rPr>
        <w:t>E. 6</w:t>
      </w:r>
    </w:p>
    <w:p>
      <w:r>
        <w:t>Aus den vorstehenden Erwägungen ergibt sich, dass die angefochtene Verfügung Bundesrecht nicht verletzt und auch kein anderer Beschwerdegrund erfüllt ist (Art. 106 Abs. 1 AsylG). Die Beschwerde ist abzuweisen.</w:t>
      </w:r>
    </w:p>
    <w:p>
      <w:r>
        <w:rPr>
          <w:b/>
        </w:rPr>
        <w:t>E. 7</w:t>
      </w:r>
    </w:p>
    <w:p>
      <w:r>
        <w:t>Dem Ausgang des Verfahrens entsprechend sind die Kosten dem Beschwerdeführer aufzuerlegen (Art. 63 Abs. 1 VwVG) und auf insgesamt Fr. 600.- festzusetzen (Art. 1 - 3 des Reglements vom 21. Februar 2008 über die Kosten und Entschädigungen vor dem Bundesverwaltungsgericht [VGKE, SR 173.320.2]). Da die Beschwerde als aussichtslos im Sinne von Art. 65 Abs. 1 VwVG zu gelten hat, kann dem Gesuch um Gewährung der unentgeltlichen Prozessführung nicht entsprochen werden. Das Gesuch um Verzicht auf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