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E-4032/2017 vom 29. Mai 2019</w:t>
      </w:r>
    </w:p>
    <w:p>
      <w:r>
        <w:t>Bundesverwaltungsgericht, 2019-05-29, FR</w:t>
      </w:r>
    </w:p>
    <w:p>
      <w:r>
        <w:rPr>
          <w:b/>
        </w:rPr>
        <w:t xml:space="preserve">Quelle: </w:t>
      </w:r>
      <w:r>
        <w:t>https://mcp.opencaselaw.ch/entscheid/bvger_E-4032_2017</w:t>
      </w:r>
    </w:p>
    <w:p>
      <w:r>
        <w:t>FR: TAF E-4032/2017 du 29 mai 2019</w:t>
      </w:r>
    </w:p>
    <w:p>
      <w:r>
        <w:t>IT: TAF E-4032/2017 del 29 maggio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Les recourants ont qualité pour recourir.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Quand bien même la vraisemblance autorise l'objection et le doute, ceux-ci doivent toutefois paraître, d'un point de vue objectif, moins important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2012/15 consid. 2.2 p. 43 s. et réf. cit.).</w:t>
      </w:r>
    </w:p>
    <w:p>
      <w:r>
        <w:rPr>
          <w:b/>
        </w:rPr>
        <w:t>E. 3.1</w:t>
      </w:r>
    </w:p>
    <w:p>
      <w:r>
        <w:t>En l'occurrence, le SEM a considéré que les allégués des recourants ne satisfaisaient pas aux exigences de vraisemblance fixées par la loi. Il a relevé de nombreuses et lourdes contradictions dans leurs allégations, notamment en ce qui concerne leurs documents d'identité, leur provenance et les circonstances de leur départ d'Irak. Il a également retenu que les cartes d'identité produites étaient manifestement falsifiées. Il en a conclu que les intéressés ne provenaient pas de Kirkuk, mais très vraisemblablement de Sulaymaniya. Le SEM a estimé, dans ces conditions, que de sérieux doutes pouvaient également être émis s'agissant des menaces de mort prétendument reçues entre novembre 2013 et janvier 2014. A ce sujet, il a retenu que les propos avaient été indigents et stéréotypés. Le SEM a enfin indiqué que, comme les intéressés en avaient convenus, l'agression subie en novembre 2013, à la considérer comme vraisemblable, ne les visait pas personnellement, mais s'inscrivait dans le contexte d'insécurité générale régnant dans les régions du centre et du sud de l'Irak. Les préjudices subis et ceux résultant de cette agression n'étaient donc pas pertinents en matière d'asile.</w:t>
      </w:r>
    </w:p>
    <w:p>
      <w:r>
        <w:rPr>
          <w:b/>
        </w:rPr>
        <w:t>E. 3.2</w:t>
      </w:r>
    </w:p>
    <w:p>
      <w:r>
        <w:t>Dans leur mémoire de recours, les intéressés contestent l'appréciation faite par le SEM quant à la vraisemblance de leurs allégués. Ils expliquent que les incohérences de dates retenues par le SEM doivent être relativisées du fait des nombreux séjours de courtes durées entre Sulaymaniya et Kirkuk, résultant de l'instabilité dans ces régions. Ils indiquent avoir vécu successivement à Kirkuk, puis Sulaymaniya, puis une nouvelle fois à Kirkuk et finalement être parti de Sulaymaniya. Ils affirment avoir en définitive quitté l'Irak en avion, à destination de Venise, puis avoir pris un train pour Zurich. Ils rappellent que, pour eux, les cartes d'identité, obtenues "normalement" auprès de l'administration de Kirkuk, sont authentiques, ne sachant pas "quels indices indiqueraient que ces cartes soient fausses". S'agissant des menaces téléphoniques, ils affirment que leurs propos à leur sujet ont été plausibles et substantiels. Plus généralement, ils expliquent avoir caché certains faits au SEM en raison des rumeurs circulant auprès des migrants et de leurs mauvaises expériences de l'administration irakienne. Ils soulignent enfin le risque accru pour eux de subir des préjudices, découlant de leur parenté, notamment de leur relation avec le frère du recourant, général de la garde présidentielle irakienne, et avec le frère de la recourante, général lui aussi, travaillant, selon les versions, pour les autorités ou « du côté des territoires autonomes kurdes ».</w:t>
      </w:r>
    </w:p>
    <w:p>
      <w:r>
        <w:rPr>
          <w:b/>
        </w:rPr>
        <w:t>E. 3.3</w:t>
      </w:r>
    </w:p>
    <w:p>
      <w:r>
        <w:t>Dans sa réponse, le SEM insiste sur la dissimulation des réelles circonstances du départ d'Irak des recourants. Il indique qu'au vu de leurs déclarations, il est plus que probable que ceux-ci disposent encore d'un réseau familial sur lequel ils pourront compter dans leur pays d'origine. Finalement, il considère que l'état de santé des recourants, notamment les problèmes psychiques de la recourante, ne fait pas obstacle à l'exécution de leur renvoi.</w:t>
      </w:r>
    </w:p>
    <w:p>
      <w:r>
        <w:rPr>
          <w:b/>
        </w:rPr>
        <w:t>E. 3.4</w:t>
      </w:r>
    </w:p>
    <w:p>
      <w:r>
        <w:t>Dans leur prise de position du 15 septembre 2017, les recourants affirment ne plus avoir de famille proche en Irak, à l'exception de deux généraux, engagés dans des camps opposés, l'un étant le frère du recourant et l'autre celui de la recourante. Celle-ci rappelle son état de santé psychique précaire. Les recourants s'opposent enfin à un retour en Irak, soutenant que l'instabilité du pays ne leur permettrait pas d'y vivre en paix.</w:t>
      </w:r>
    </w:p>
    <w:p>
      <w:r>
        <w:rPr>
          <w:b/>
        </w:rPr>
        <w:t>E. 4.1</w:t>
      </w:r>
    </w:p>
    <w:p>
      <w:r>
        <w:t>A l'instar du SEM, le Tribunal considère que les intéressés n'ont pas rendu vraisemblables leurs allégations relatives à leur provenance.</w:t>
      </w:r>
    </w:p>
    <w:p>
      <w:r>
        <w:rPr>
          <w:b/>
        </w:rPr>
        <w:t>E. 4.1.1</w:t>
      </w:r>
    </w:p>
    <w:p>
      <w:r>
        <w:t>Les recourants n'ont cessé de varier, d'une audition à l'autre, puis encore dans le mémoire de recours, dans leur propos s'agissant des périodes durant lesquelles ils auraient vécus à Kirkuk ou Sulaymaniya et des circonstances de leur sortie d'Irak, tantôt depuis Kirkuk, tantôt depuis Sulaymaniya, tantôt en voiture jusqu'en Turquie, tantôt en avion jusqu'à Venise.</w:t>
      </w:r>
    </w:p>
    <w:p>
      <w:r>
        <w:rPr>
          <w:b/>
        </w:rPr>
        <w:t>E. 4.1.2</w:t>
      </w:r>
    </w:p>
    <w:p>
      <w:r>
        <w:t>Les indications relatives au lieu d'origine du recourant sont aussi variables. Les dires de celui-ci, selon lesquels il serait originaire de Kirkuk, ne correspondent pas aux renseignements qui ressortent du système CS-VIS. Ces renseignements, qui figurent également sur le passeport que le recourant dit avoir détruit à son arrivée en Suisse, révèlent qu'il est originaire de Sulaymaniya, comme sa femme et ses enfants.</w:t>
      </w:r>
    </w:p>
    <w:p>
      <w:r>
        <w:rPr>
          <w:b/>
        </w:rPr>
        <w:t>E. 4.1.3</w:t>
      </w:r>
    </w:p>
    <w:p>
      <w:r>
        <w:t>Afin de prouver leur nationalité et leur origine, les recourants ont en outre produit des cartes d'identité qui se sont révélées, après une analyse sérieuse qui n'a pu valablement être contestée, être des fausses. A cet égard, il est utile de relever que la carte d'identité de la recourante indique Kirkuk comme lieu d'origine, alors même que celle-ci a toujours signalé être originaire de Sulaymaniya.</w:t>
      </w:r>
    </w:p>
    <w:p>
      <w:r>
        <w:rPr>
          <w:b/>
        </w:rPr>
        <w:t>E. 4.1.4</w:t>
      </w:r>
    </w:p>
    <w:p>
      <w:r>
        <w:t>Dans ces conditions, il y a lieu de retenir que les recourants proviennent de Sulaymaniya et non de Kirkuk, comme ils tentent de le faire croire. Ils parlent d'ailleurs le Sorani, dialecte parlé au Kurdistan irakien. Les documents produits au stade du recours ne sont pas de nature à infirmer cette appréciation. En particulier, la lettre du frère du recourant, qui se limite à reprendre en substance les allégations de ce dernier, ne saurait se voir reconnaître une valeur probante déterminante, au vu notamment du risque important de collusion.</w:t>
      </w:r>
    </w:p>
    <w:p>
      <w:r>
        <w:rPr>
          <w:b/>
        </w:rPr>
        <w:t>E. 4.2</w:t>
      </w:r>
    </w:p>
    <w:p>
      <w:r>
        <w:t>Les recourants ne sont pas davantage parvenus à rendre crédibles les préjudices subis dans leur pays.</w:t>
      </w:r>
    </w:p>
    <w:p>
      <w:r>
        <w:rPr>
          <w:b/>
        </w:rPr>
        <w:t>E. 4.2.1</w:t>
      </w:r>
    </w:p>
    <w:p>
      <w:r>
        <w:t>Il existe en premier lieu une contradiction majeure relative à l'agression subie en novembre 2013, entre Kirkuk et Bagdad, puisque les recourants ont d'abord indiqué qu'elle avait eu lieu sur le trajet du retour, puis sur le trajet de l'aller. Ce constat laisse apparaître que les recourants se sont concertés avant chaque audition afin d'exposer une version similaire des faits, se trompant toutefois sur celle préparée d'une audition à l'autre. Indépendamment de ce constat, comme l'a relevé le SEM, l'agression de novembre 2013 n'avait aucun caractère ciblé sur les personnes des recourants. A en admettre la réalité, elle n'est donc, même si les préjudices subis ne doivent en rien être minimisés, pas pertinente en regard de l'art. 3 LAsi.</w:t>
      </w:r>
    </w:p>
    <w:p>
      <w:r>
        <w:rPr>
          <w:b/>
        </w:rPr>
        <w:t>E. 4.2.2</w:t>
      </w:r>
    </w:p>
    <w:p>
      <w:r>
        <w:t>Ensuite, comme l'a relevé à juste titre le SEM, les déclarations relatives aux menaces téléphoniques se sont révélées particulièrement indigentes. On peut relever ici que le recourant a commencé par indiquer que le numéro d'appel était à chaque fois masqué, ne pouvant ainsi rien savoir de leurs auteurs. Interrogé dans un autre contexte, soit celui du dépôt éventuel d'une plainte à la police, il a expliqué l'impossibilité d'obtenir une protection du fait que les appels ne provenaient pas de Sulaymaniya, ce qui indique que, contrairement à ce qu'il avait dit plus tôt, il possédait des informations sur l'origine des appels.</w:t>
      </w:r>
    </w:p>
    <w:p>
      <w:r>
        <w:rPr>
          <w:b/>
        </w:rPr>
        <w:t>E. 4.2.3</w:t>
      </w:r>
    </w:p>
    <w:p>
      <w:r>
        <w:t>Enfin, les recourants ont invoqué, au stade du recours, un risque lié au fait que chacun d'eux avait un frère général, l'un du côté des autorités de Bagdad, l'autre du côté des « autorités autonomes kurdes ». Ce nouveau motif n'est pas non plus vraisemblable. Interrogée sur les membres de sa famille au pays, lors de son audition sur les motifs, la recourante a mentionné qu'hormis une tante habitant Bagdad, toute sa famille proche résidait au nord de l'Irak. Ainsi, elle y avait trois frères, le premier étant ingénieur, le deuxième chauffeur de taxi et le troisième sans emploi. Tout à la fin de l'audition, lorsqu'il lui a été demandé si des membres de la famille travaillaient pour le gouvernement, elle a dit, sans expliquer pourquoi elle n'avait pas parlé de cela plus tôt, avoir un frère, général, travaillant pour les autorités à Bagdad. Elle n'a cependant en rien prétendu que cela était source de problèmes pour elle et son mari. Contrairement à ce que ceux-ci affirment dans leur recours, sans d'ailleurs donner le moindre indice sur la nature de ces problèmes, ce général travaillerait de surcroît également à Bagdad, pour les autorités du pouvoir central.</w:t>
      </w:r>
    </w:p>
    <w:p>
      <w:r>
        <w:rPr>
          <w:b/>
        </w:rPr>
        <w:t>E. 4.3</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toutes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En l'occurrence, le Tribunal considère, pour les mêmes motifs que ceux développés au considérant 4 ci-dessus, qu'il n'y a pas lieu de conclure à un risque sérieux et avéré de traitements illicites pour les recourants en cas de retour dans leur pays d'origine.</w:t>
      </w:r>
    </w:p>
    <w:p>
      <w:r>
        <w:rPr>
          <w:b/>
        </w:rPr>
        <w:t>E. 7.6</w:t>
      </w:r>
    </w:p>
    <w:p>
      <w:r>
        <w:t>Dès lors, l'exécution du renvoi des recourants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 cit.).</w:t>
      </w:r>
    </w:p>
    <w:p>
      <w:r>
        <w:rPr>
          <w:b/>
        </w:rPr>
        <w:t>E. 8.3</w:t>
      </w:r>
    </w:p>
    <w:p>
      <w:r>
        <w:t>S'agissant de l'Irak, le Tribunal a distingué, dans sa jurisprudence, la situation régnant dans les trois provinces kurdes du nord, Dohuk, Erbil et Sulaymaniya,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du Kurdistan du 25 septembre 2017, organisé unilatéralement, a entrainé des mesures économiques répressives tant du gouvernement irakien que des Etats turc et iraniens voisins. En dépit de la profonde crise politique et économique à laquelle la région autonome kurde d'Irak est de ce fait confrontée, les violences y demeurent relativement limitées.</w:t>
      </w:r>
    </w:p>
    <w:p>
      <w:r>
        <w:rPr>
          <w:b/>
        </w:rPr>
        <w:t>E. 8.4</w:t>
      </w:r>
    </w:p>
    <w:p>
      <w:r>
        <w:t>En l'espèce, il ne ressort du dossier aucun élément dont on pourrait inférer que l'exécution du renvoi impliquerait une mise en danger concrète des recourants, étant souligné que leur premier enfant est aujourd'hui âgé de 20 ans, et donc en âge de s'assumer. La recourante, en tous les cas, dispose d'un réseau familial important dans le Kurdistan irakien, à Sulaymaniya notamment. Les recourants s'y sont mariés et y ont résidé de nombreuses années. Au vu du consid. 4 ci-dessus, il est fortement probable qu'ils y étaient domiciliés au moment où ils ont quitté leur pays.</w:t>
      </w:r>
    </w:p>
    <w:p>
      <w:r>
        <w:rPr>
          <w:b/>
        </w:rPr>
        <w:t>E. 8.4.1</w:t>
      </w:r>
    </w:p>
    <w:p>
      <w:r>
        <w:t>Concernant les problèmes médicaux de la recourante, le Tribunal constate, à l'instar du SEM, que le diabète, dont elle souffrait avant de se rendre en Suisse (elle est arrivée avec ses médicaments) et ses troubles de l'ouïe ne sont pas d'une gravité telle qu'ils s'opposent à l'exécution du renvoi. Au stade du recours, elle met en avant ses troubles psychiques. Selon le rapport produit, elle souffre d'un trouble dépressif récurrent, épisode moyen avec syndrome somatique (F33.11) et d'un état de stress post traumatique (F43.1). Outre un traitement médicamenteux, un traitement psychiatrique et psychothérapeutique lui permettait de mieux gérer les symptômes de la maladie, la décision négative du SEM ayant cependant provoqué une aggravation des symptômes anxio-dépressifs, avec la présence d'idées suicidaires. A ce sujet, il peut être relever que le nord de l'Irak dispose de structures médicales offrant des soins médicaux essentiels, au sens de la jurisprudence précitée même si ces dernières font face à une sollicitation accrue en raison des nombreuses années de privation (arrêts du TAF E-955/2018 du 20 avril 2018 consid. 7.4.3, D-1904/2017 du 3 août 2017 consid. 7.5.2, E-561/2017 du 24 juillet 2017 consid. 5.6, D-404/2015 du 20 juin 2017 consid. 11.7.2). Partant, la recourante pourra prétendre, dans sa région d'origine, à un traitement adéquat de ses troubles, même si les soins n'atteignent probablement pas le standard élevé de ceux dont elle bénéficie actuellement en Suisse. Elle pourra en outre demander à bénéficier, si nécessaire, d'une aide au retour lui permettant en tous les cas de faire face aux premiers temps de sa réinstallation.</w:t>
      </w:r>
    </w:p>
    <w:p>
      <w:r>
        <w:rPr>
          <w:b/>
        </w:rPr>
        <w:t>E. 8.4.2</w:t>
      </w:r>
    </w:p>
    <w:p>
      <w:r>
        <w:t>Le recourant a indiqué, lui, qu'il était diminué dans l'usage de son bras. Il n'a toutefois pas étayé ses propos et rien ne permet de conclure, d'une part, que son état nécessite encore des soins et, d'autre part, qu'il ne pourrait, comme par le passé, poursuivre son activité de chauffeur et ainsi subvenir aux besoins de sa famille.</w:t>
      </w:r>
    </w:p>
    <w:p>
      <w:r>
        <w:rPr>
          <w:b/>
        </w:rPr>
        <w:t>E. 8.5</w:t>
      </w:r>
    </w:p>
    <w:p>
      <w:r>
        <w:t>Il sied encore de souligner que les intéressés ont un enfant mineur. S'agissant d'une décision de renvoi concernant des enfants, l'intérêt supérieur de ces derniers est un point important à prendre en considération dans le cadre de l'examen de l'exigibilité de la mesure. Une interprétation de l'art. 83 al. 4 LEI conforme aux exigences découlant de la convention du 20 novembre 1989 relative aux droits de l'enfant (ci-après : Conv. droits enfants ; RS 0.107) impose d'avoir égard, en particulier, aux conséquences que le renvoi pourrait avoir sur l'enfant concerné, selon son âge ou la longueur de son séjour en Suisse, en raison de son intégration dans ce pays, ainsi qu'aux incidences prévisibles d'une installation dans le pays d'origine sur son développement (cf. ATAF 2009/28 consid. 9.3.2). En l'occurrence, l'enfant des intéressés est âgé de quinze ans. Il a effectué la majeure partie de sa scolarité à Sulaymaniya, où il a probablement vécu. Il ne saurait être admis que, malgré le temps écoulé depuis son arrivée en Suisse et sa scolarisation, il s'est à ce point intégré qu'un retour dans son pays d'origine constituerait un véritable déracinement pour lui. Force est dès lors de retenir qu'en dépit des difficultés initiales qu'il pourra rencontrer, sa réintégration en Irak n'apparaît pas insurmontable (ATAF 2010/45 consid. 8.3 et jurisp. cit., 2009/51 consid. 5.6 et 5.8.2, 2009/28 consid. 9.3.2 et réf. cit.).</w:t>
      </w:r>
    </w:p>
    <w:p>
      <w:r>
        <w:rPr>
          <w:b/>
        </w:rPr>
        <w:t>E. 8.6</w:t>
      </w:r>
    </w:p>
    <w:p>
      <w:r>
        <w:t>Pour ces motifs, l'exécution du renvoi des intéressés à Sulaymaniya doit être considérée comme raisonnablement exigible.</w:t>
      </w:r>
    </w:p>
    <w:p>
      <w:r>
        <w:rPr>
          <w:b/>
        </w:rPr>
        <w:t>E. 9</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conditions de l'art. 65 al. 1 PA étant remplies, il est renoncé à leur perception.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