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E-4025/2011 vom 19. April 2013</w:t>
      </w:r>
    </w:p>
    <w:p>
      <w:r>
        <w:t>Bundesverwaltungsgericht, 2013-04-19, DE</w:t>
      </w:r>
    </w:p>
    <w:p>
      <w:r>
        <w:rPr>
          <w:b/>
        </w:rPr>
        <w:t xml:space="preserve">Quelle: </w:t>
      </w:r>
      <w:r>
        <w:t>https://mcp.opencaselaw.ch/entscheid/bvger_E-4025_2011</w:t>
      </w:r>
    </w:p>
    <w:p>
      <w:r>
        <w:t>FR: TAF E-4025/2011 du 19 avril 2013</w:t>
      </w:r>
    </w:p>
    <w:p>
      <w:r>
        <w:t>IT: TAF E-4025/2011 del 19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im Wesentlichen fest, die Vorbringen des Beschwerdeführer widersprächen der allgemeinen Erfahrung oder der Logik des Handelns, seien unsubstanziiert und tatsachenwidrig. Der Beschwerdeführer habe nicht schlüssig darlegen können, weshalb man ihn trotz dem angeblich massiven Druck und den Verhören beim Gendarmerieposten jeweils unbehelligt wieder habe nach Hause gehen lassen. Stattdessen hätte vielmehr eine ständige Überwachung des Beschwerdeführers der allgemeinen Erfahrung entsprochen, was indessen nicht der Fall gewesen sei. Es sei weiter nicht nachvollziehbar, weshalb man den Beschwerdeführer - mit seiner Abneigung, Angst und Unvertrautheit gegenüber der kurdischen Kultur und der fehlenden Beherrschung der kurdischen Sprache - überhaupt unbedingt als Dorfschützer habe gewinnen wollen. Auch sei der Beschwerdeführer anlässlich der direkten Bundesanhörung auf ausdrückliches Auffordern hin nicht in der Lage gewesen, substanziierte Antworten zu den Aufgaben eines Dorfschützers sowie zur ersten und letzten Vorladung zu geben (vgl. A10/18 S. 6-8 und 10f.). Schliesslich widersprächen die Vorbringen des Beschwerdeführers den gesicherten Erkenntnissen des BFM, wonach in der Türkei keine rechtliche Grundlage für die zwangsweise Übernahme eines Dorfschützeramtes bestehe. Im Weiteren wurde auf das Subsidiaritätsprinzip hingewiesen und festgehalten, dass sich der Beschwerdeführer dank der bestehenden innerstaatlichen Fluchtalternative den geltend gemachten Verfolgungsmassnahmen entziehen könne. Gemäss den vorinstanzlichen Erwägungen genügten die Vorbringen nicht den Anforderungen von Art. 7 AsylG an die Glaubhaftmachung und denjenigen von Art. 3 AsylG an die flüchtlingsrechtliche Relevanz.</w:t>
      </w:r>
    </w:p>
    <w:p>
      <w:r>
        <w:rPr>
          <w:b/>
        </w:rPr>
        <w:t>E. 4.2</w:t>
      </w:r>
    </w:p>
    <w:p>
      <w:r>
        <w:t>Der Rechtsvertreter des Beschwerdeführers hielt in seiner Rechtsmitteleingabe an den bisherigen Vorbringen fest und erläuterte zunächst die genaue Funktion des Dorfschützersystems, indem er unter anderem auch dessen historische Entwicklung beleuchtete und auf die häufig durch Dorfschützer begangenen Strafverbrechen hinwies. Gegen die vorinstanzliche Erwägung, der Beschwerdeführer habe keine schlüssige Erklärung zum Vorgehen der türkischen Behörden darlegen können, wurde eingewendet, dass das Heimatdorf des Beschwerdeführers sehr gebirgig und bewaldet sei, weswegen viele Guerilla-Anhänger ihre Kampfbasen dort eingerichtet hätten. Dieses Dorf sowie umliegende Ortschaften bedürften somit des Schutzes durch Dorfwächter. Der Beschwerdeführer, der dort seit Geburt gelebt habe, würde sich für die Rolle des Dorfschützers bestens eignen, weshalb man ihn am Ende zur Übernahme von einer frei gewordenen Stelle unter Todesdrohung gezwungen habe. Weiter hielt der Rechtsvertreter der Vorinstanz entgegen, dass bei der Einsetzung des Dorfschützers die ethnische Herkunft, ob Türke oder Kurde, keine Rolle spiele, und verwies auf die übereinstimmende Aussage des Beschwerdeführers anlässlich der Bundesanhörung. Personen, welche das Angebot des Dorfschützeramtes ablehnten, hätten mit Repressalien, gar dem Tod, zu rechnen. Die entgegenstehenden Behauptungen der Vorinstanz, es drohe den Amtsverweigern keine Verfolgung, sei unzutreffend und beruhe entweder auf Unkenntnis der diesbezüglichen politischen Lage in der Türkei oder auf bewusster Ausblendung der fraglichen Thematik. Das Vorhalten des BFM, es fehle an Substanziiertheit in den Schilderungen des Beschwerdeführers, wies der Rechtsvertreter zurück und hielt fest, dass der Beschwerdeführer die zehn Dorfschützer und damit auch ihre Tätigkeit seit klein auf wahrgenommen habe. Der Beschwerdeführer kenne somit die genauen Aufgaben eines Dorfschützers und habe diese auch substanziiert beschreiben können. Schliesslich ging der Rechtsvertreter einig mit der vorinstanzlichen Feststellung, dass es zur zwangsweisen Übernahme eines Dorfschützeramtes keine gesetzliche Grundlage gebe. In der Praxis seien Zwangsrekrutierungen von Dorfschützern dennoch sehr verbreitet, wie dies auch auf den Beschwerdeführer zutreffe.</w:t>
      </w:r>
    </w:p>
    <w:p>
      <w:r>
        <w:rPr>
          <w:b/>
        </w:rPr>
        <w:t>E. 4.3</w:t>
      </w:r>
    </w:p>
    <w:p>
      <w:r>
        <w:t>In der vorinstanzlichen Vernehmlassung wird das Vorliegen eines Rekrutierungsdruckes gegenüber dem Beschwerdeführer mit der Begründung verneint, es gebe 60'000 Dorfschützer im Südosten der Türkei und es würden sich viele Männer aufgrund gewisser damit verbundener Privilegien freiwillig für dieses Amt anbieten. Dagegen macht der Rechtsvertreter in seiner Replik geltend, dass man als Dorfschützer trotz allfälliger Privilegien mit vielen Gefahren zu rechnen habe. So würden Dorfschützer durch das türkische Militär zu Frontkampf-Einsätzen gegen PKK-Leute gezwungen. Bei Verweigerung würden die Dorfschützer als PKK-Unterstützer angesehen und deswegen umgebracht. Deren Tod würde sodann als Folge eines militärischen Gefechts gegen die PKK dargestellt. Unzählige Strafverbrechen gegen die kurdische Zivilbevölkerung würden durch die paramilitärischen Söldner verübt. Aus diesen Gründen sei nicht jeder Dorfbewohner zur freiwilligen Übernahme bereit, wie dies der Beschwerdeführer anlässlich der Befragungen unmissverständlich zu Protokoll gegeben habe. Zur Zeit gebe es Tausende Dorfschützer - schätzungsweise sogar die Hälfte der heute über 60'000 zählenden Männer -, die ihr Amt niederlegen wollten; es sei ihnen aufgrund der ansonsten drohenden staatlichen Repressalien indessen nicht möglich.</w:t>
      </w:r>
    </w:p>
    <w:p>
      <w:r>
        <w:rPr>
          <w:b/>
        </w:rPr>
        <w:t>E. 5.1</w:t>
      </w:r>
    </w:p>
    <w:p>
      <w:r>
        <w:t>Nach Prüfung der Akten stellt das Bundesverwaltungsgericht fest, dass die Asylvorbringen des Beschwer­deführers einerseits den Anforderungen an die Glaubhaftigkeit gemäss Art. 7 AsylG nicht standzuhalten vermögen und andererseits insgesamt keine asylrechtliche Relevanz im Sinne von Art. 3 AsylG aufweisen.</w:t>
      </w:r>
    </w:p>
    <w:p>
      <w:r>
        <w:rPr>
          <w:b/>
        </w:rPr>
        <w:t>E. 5.1.1</w:t>
      </w:r>
    </w:p>
    <w:p>
      <w:r>
        <w:t>Zunächst ist auf die vorinstanzliche Beurteilung einzugehen, wonach die Schilderungen des Beschwerdeführers nicht genügend substanziiert seien und der allgemeinen Erfahrung widersprechen würden (vgl. vorstehend E. 4.1, zweite Hälfte). Das BFM hielt in seiner Verfügung fest, dass der Beschwerdeführer explizit habe eingeladen werden müssen, seine Vorbringen zu schildern, und auch dann noch zu Funktion oder Aufgaben der Dorfschützer nur höchst unsubstanziierte Angaben habe machen können. Diese Ansicht der Vorinstanz teilt das Gericht nicht. Die Durchsicht der von der Vorinstanz zitierten Protokollstelle (A10 S. 6 f.) zeigt vielmehr, dass der Beschwerdeführer durch die Aufforderung, seine bisherigen Vorbringen zu ergänzen oder zu vertiefen (a.a.O., F. 61), zunächst mit einer Gegenfrage reagierte ("Heisst das, dass ich alles wieder von Anfang an erzählen soll?"), und mit der anschliessenden, eher verwirrend formulierten offenen Aufforderung, seine Vorbringen ergänzend darzulegen ("Sie müssen nicht, aber vielleicht ist es zweckdienlich, wenn Sie uns schildern, weshalb Sie Ihr Heimatland verlassen haben .... Es ist keine Verpflichtung, Ihnen wird einfach die Möglichkeit gegeben. Wenn Sie nicht wollen, können Sie auch nichts hinzufügen.", a.a.O., F. 62), offensichtlich nur wenig anfangen konnte, zumal er im vorherigen Verlauf der Befragung mit konkreten und präzisen Fragen konfrontiert gewesen war. Angesichts der zitierten verwirrenden Fragestellung - welche entgegen der Einschätzung in der angefochtenen Verfügung nicht einer expliziten Einladung zur substanziierten Schilderung der Vorbringen entspricht - sind die Antworten des Beschwerdeführers nicht unsubstanziiert ausgefallen. Der Beschwerdeführer konnte zu den verschiedenen anschliessend gestellten, präzisen Fragen betreffend die Funktion und die Aufgaben eines Dorfschützers klare und schlüssige Antworten geben, zumal er selber noch nie Dorfschützer gewesen sei, sondern lediglich in seinem Heimatdorf solchen Personen begegnet sei (vgl. A10/18 S. 7ff.; F. 67 ff.).</w:t>
      </w:r>
    </w:p>
    <w:p>
      <w:r>
        <w:rPr>
          <w:b/>
        </w:rPr>
        <w:t>E. 5.1.2</w:t>
      </w:r>
    </w:p>
    <w:p>
      <w:r>
        <w:t>Dagegen erachtet das Gericht die vorinstanzliche Feststellung, dass die Ausführungen des Beschwerdeführers hinsichtlich der ersten und letzten Vorladung unsubstanziiert ausgefallen seien, als zutreffend. So sind bei genauer Betrachtung des zweiten Befragungsprotokolls in der Tat hierzu nur kurz gefasste und vage Antworten vorzufinden. Der Beschwerdeführer konnte keine genauen Zeitangaben betreffend die erstmals erhaltene Aufforderung zur Amtsübernahme nennen (vgl. A10/18 S. 9). Zunächst gab er zu Protokoll, dass dies "etwa im ersten Monat" geschehen sei, während er wenig später angab, er habe im September 2010 beim Gendarmerieposten in B._______ erscheinen müssen (vgl. A10/18 S. 9 f.). Demgegenüber konnte er beispielsweise die exakte Aufenthaltszeit im Militärdienst angeben, die allerdings zeitlich viel weiter zurückliegt als seine Verfolgungsvorbringen (vgl. A10/18 S. 5). Auf die Frage hin, wann er in B._______ letztmals vorgeladen wurde, konnte er zwar ein ungefähres Datum nennen, indessen erinnerte er sich nicht an den entsprechenden Wochentag. Ebenso konnte er sich nicht an die Daten der zweiten und dritten Anhörung, an welchen er eigenen Angaben zufolge sogar Faustschläge und Fusstritte habe erdulden müssen, erinnern. Diese Wissenslücke erstaunt in Anbetracht der angeblichen körperlichen Gewaltanwendung und massiven Drohungen, denen er während dieser Anhörungen ausgesetzt gewesen sein soll. Die Unkenntnis über die Daten erscheint umso fragwürdiger, wenn man bedenkt, dass der Beschwerdeführer eine Woche nach dem vierten Verhör aufgrund der angeblichen Todesdrohungen sogar den Entschluss fasste, auszureisen (vgl. A10/18 S. 10 f. und 13). Weiter fällt bei der Durchsicht des Befragungsprotokolls auf, dass keinerlei ausführliche Beschreibungen zu den Geschehnissen auf dem Gendarmerieposten vorliegen, welche vorliegend ein zentrales Sachverhaltselement darstellen. Die diesbezüglichen Aussagen des Beschwerdeführers fielen höchst unsubstanziiert und kurz aus, obwohl er behauptete, im Büro des Kommandanten körperlicher und psychischer Gewalt ausgesetzt gewesen zu sein, was im Fall von einem tatsächlich ereigneten Vorfall dieser Art zu einer einlässlicheren Schilderung geführt hätte (vgl. A10/18 S. 11 bis 13).</w:t>
      </w:r>
    </w:p>
    <w:p>
      <w:r>
        <w:rPr>
          <w:b/>
        </w:rPr>
        <w:t>E. 5.1.3</w:t>
      </w:r>
    </w:p>
    <w:p>
      <w:r>
        <w:t>Auch erachtet das Gericht die vorinstanzliche Beurteilung, wonach die Darlegung des Beschwerdeführers seiner Bedrohungssituation als unschlüssig und nicht nachvollziehbar eingestuft wurde, als zutreffend. Es erscheint in der Tat realitätsfremd, dass der Beschwerdeführer einerseits massiv unter Druck gesetzt worden sein soll, andererseits jedoch lediglich viermal beim Gendarmerieposten habe erscheinen müssen und sich nach den jeweiligen Anhörungen stets ohne polizeiliche Beobachtung frei habe bewegen können. Hätte der Postenkommandant ein tatsächliches Verfolgungsinteresse gegenüber dem Beschwerdeführer gehabt, so wäre erfahrungsgemäss ein strengeres behördliches Vorgehen zu erwarten gewesen. Nicht nachvollziehbar erscheint im Weiteren, weshalb der Beschwerdeführer, trotz der geltend gemachten intensiven Druckausübung seitens des Kommandanten am Gendarmerieposten in B._______, sich nicht an die nächst höhere Behördenstelle gewendet hätte (vgl. A10/18 S. 12, 15).</w:t>
      </w:r>
    </w:p>
    <w:p>
      <w:r>
        <w:rPr>
          <w:b/>
        </w:rPr>
        <w:t>E. 5.2</w:t>
      </w:r>
    </w:p>
    <w:p>
      <w:r>
        <w:t>Unabhängig von der Glaubhaftigkeit der vorstehend untersuchten Vorbringen ist in Übereinstimmung mit der Vorinstanz festzustellen, dass die geltend gemachten Behelligungen ausschliesslich lokalen Charakter aufweisen, und sich der Beschwerdeführer ihnen durch einen Wegzug in eine andere Landesgegend entziehen kann, womit er sich das Bestehen einer innerstaatlichen Fluchtalternative entgegenhalten lassen muss. In diesem Zusammenhang ist darauf hinzuweisen, dass gemäss Aktenlage in all den Jahren bis zur Ausreise keine Strafverfahren gegen den Beschwerdeführer eingeleitet worden sind, weder aufgrund der Weigerung, das Amt als Dorfschützer anzunehmen, noch im Zusammenhang mit der vorgeworfenen Unterstützung der PKK. Ein landesweites evidentes Interesse der türkischen Behörden am Beschwerdeführer und somit eine begründete Furcht, ernsthaften Nachteilen ausgesetzt zu werden, ist in Berücksichtigung der gesamten Aktenlage klarerweise auszuschliessen. Gemäss dem Grundsatzurteil des Bundesverwaltungsgerichts vom 21. Dezember 2011 (BVGE 2011/51) setzt die Anerkennung einer innerstaatlichen Fluchtalternative auch voraus, dass eine Zufluchtnahme am entsprechenden Ort dem Betroffenen zumutbar sein muss und er dort nicht in eine existenzbedrohende Situation zu geraten droht. Der Beschwerdeführer ist ethnischer Türke und türkischer Muttersprache; eigenen Angaben zufolge habe er während fünf Jahren die Primarschule und im Anschluss während zweier Jahre die Sekundarschule besucht an seinem Heimatort, wobei ihm zum Schulabschluss noch ein Jahr gefehlt habe. Zwar habe er keinen Beruf erlernt; er habe aber im familieneigenen Land- und Viehwirtschaftsbetrieb gearbeitet; in der Schweiz hat er sich zudem Berufserfahrung im Gastgewerbe erworben. In verschiedenen Orten ausserhalb seiner Heimatprovinz Adiyaman - so namentlich in C._______ oder in D._______, wo seine Schwestern leben (vgl. A4/9 S. 3) - besitzt er zudem familiäre Anknüpfungspunkte. Allfällige gesundheitliche Probleme sind nicht aktenkundig; der Beschwerdeführer ist noch jung, alleinstehend und hat somit für keine eigene Familie zu sorgen, was ein selbständiges Fortkommen innerhalb seines Heimatstaats ebenfalls erleichtern sollte. Aufgrund dieser Faktoren muss nicht eine existenzbedrohende Situation befürchtet werden, sollte der Beschwerdeführer sich in der Türkei ausserhalb seiner engsten Herkunftsregion niederlassen. Das Vorbringen des Beschwerdeführers, er würde bei einer Rückkehr in sein Heimatdorf verfolgt werden, erweist sich somit - aufgrund der Möglichkeit einer innerstaatlichen Wohnsitzverlegung - als nicht asylrelevant.</w:t>
      </w:r>
    </w:p>
    <w:p>
      <w:r>
        <w:rPr>
          <w:b/>
        </w:rPr>
        <w:t>E. 5.3</w:t>
      </w:r>
    </w:p>
    <w:p>
      <w:r>
        <w:t>Nach dem Gesagten ist es dem Beschwerdeführer nicht gelungen, eine im Heimatstaat bestehende asylbeachtliche Verfolgungssituation nachzuweisen oder zumindest glaubhaft zu machen, und es muss auch im heutigen Zeitpunkt nicht mit überwiegender Wahrscheinlichkeit angenommen werden, dass ihm bei einer Rückkehr in die Türkei ernsthafte Nachteile im Sinne des Asylgesetzes drohen würden. Darüber hinaus ist festzuhalten, dass die Vorbringen ohnehin - unabhängig von deren Glaubhaftigkeit und aufgrund des Vorliegens einer innerstaatlichen Fluchtalternative - als nicht asylrelevant zu erachten sind.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der Türkei herrscht zur Zeit weder Krieg oder Bürgerkrieg noch liegt eine landesweite Situation allgemeiner Gewalt vor. Die Vorbringen des Beschwerdeführers in der Rechtsmittelschrift und in der Replik hinsichtlich einer angeblichen Verschärfung der politischen Situation in der Türkei sind nicht geeignet, vorliegend die Unzumutbarkeit des Wegweisungsvollzuges zu begründen. Das Bundesverwaltungsgericht beobachtet die Situation namentlich in den Südostprovinzen der Türkei aufmerksam und hat kürzlich eine aktualiserte Beurteilung der allgemeinen Lage im Südosten der Türkei vorgenommen (vgl. Entscheid E-2560/2011 vom 15. März 2013). Demnach präsentiert sich die Sicherheitslage in gewissen Gebieten Ostanatoliens markant schlechter als in den letzten Jahren; das Gericht qualifiziert den Vollzug von Wegweisungen abgewiesener Asylsuchender in die beiden Provinzen Hakkari und Sirnak heute (wieder) als generell unzumutbar. In den übrigen Regionen Ost- und Südostanatoliens, die in letzter Zeit nur von punktuellen Gewaltausbrüchen betroffen waren, ist die Grenze für die Annahme einer Situation allgemeiner Gewalt hingegen gemäss der jüngsten Situationsbeurteilung klar nicht erreicht; auch für die Grenzprovinzen zu Syrien (neben Sirnak: Mardin, Sanliurfa, Gaziantep, Kilis und Hatay), in denen nach der Aufnahme einer grossen Zahl syrischer Bürgerkriegsflüchtlinge in letzter Zeit teilweise Spannungen und vereinzelte gewaltsame Zwischenfälle zu registrieren waren, ist nach Einschätzung des Gerichts aktuell nicht eine Situation der konkreten Gefährdung für Rückkehrer im Sinne von Art. 83 Abs. 4 AuG festzustellen.</w:t>
      </w:r>
    </w:p>
    <w:p>
      <w:r>
        <w:rPr>
          <w:b/>
        </w:rPr>
        <w:t>E. 7.4.2</w:t>
      </w:r>
    </w:p>
    <w:p>
      <w:r>
        <w:t>Zu prüfen bleibt, ob beim Beschwerdeführer allenfalls andere, individuelle Gründe vorliegen, die gegen eine Zumutbarkeit eines Wegweisungsvollzugs sprechen. Der Beschwerdeführer hat in der Rechtsmitteleingabe keine über die allgemeine Situation hinausgehenden individuellen Gründe für eine Unzumutbarkeit des Vollzuges aufgezeigt. Seine persönlichen Verhältnisse lassen, wie bereits oben festgehalten (vgl. E. 5.2), den Schluss zu, dass er sich in der Türkei wirtschaftlich wie sozial wieder in das gesellschaftliche System der Türkei wird integrieren können. Der Vollzug der Wegweisung erweist sich demnach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