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E-4023/2018 vom 19. Juli 2018</w:t>
      </w:r>
    </w:p>
    <w:p>
      <w:r>
        <w:t>Bundesverwaltungsgericht, 2018-07-19, DE</w:t>
      </w:r>
    </w:p>
    <w:p>
      <w:r>
        <w:rPr>
          <w:b/>
        </w:rPr>
        <w:t xml:space="preserve">Quelle: </w:t>
      </w:r>
      <w:r>
        <w:t>https://mcp.opencaselaw.ch/entscheid/bvger_E-4023_2018</w:t>
      </w:r>
    </w:p>
    <w:p>
      <w:r>
        <w:t>FR: TAF E-4023/2018 du 19 juillet 2018</w:t>
      </w:r>
    </w:p>
    <w:p>
      <w:r>
        <w:t>IT: TAF E-4023/2018 del 19 luglio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ist die Beurteilungskompetenz der Beschwerdeinstanz grundsätzlich auf die Frage beschränkt, ob die Vorinstanz bei vollständig und richtig festgestelltem Sachverhalt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Antrag, der Beschwerde sei die aufschiebende Wirkung zu gewähren, ist mit vorliegendem Urteil gegenstandslos geworden.</w:t>
      </w:r>
    </w:p>
    <w:p>
      <w:r>
        <w:rPr>
          <w:b/>
        </w:rPr>
        <w:t>E. 4.1</w:t>
      </w:r>
    </w:p>
    <w:p>
      <w:r>
        <w:t>Die Beschwerdeführer rügen eine Verletzung der Begründungspflicht. Hierbei handelt es sich um eine formelle Rüge, welche vorab zu beurteilen ist, da sie allenfalls geeignet wäre, eine Kassation der vorinstanzlichen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Beschwerdeführer bringen vor, die Schwere der psychischen Erkrankung von B._______ (nachfolgend: Beschwerdeführerin) sei erst anlässlich der einlässlichen ärztlichen Untersuchungen aktenkundig geworden. Ihr psychischer Befund sei alarmierend und angesichts der herrschenden Zustände im slowenischen Gesundheitssystem und der schlechten Gesundheitsversorgung der Asylsuchenden entscheidrelevant. Die Vorinstanz habe sich mit textbausteinartigen Ausführungen begnügt. Sie wäre zumindest gehalten gewesen, sich mit den ärztlichen Befunden, wonach die Beschwerdeführerin einer 1:1-Betreuung und einer spezialisierten Behandlung für Folter- und Kriegsopfer bedurft hätte, näher auseinanderzusetzen. Die Beschwerdeführerin gab anlässlich der Befragung an, seit circa drei Jahren gehe es ihr psychisch schlecht und sie müsse Medikamente einnehmen. Eine Abklärung der Vorinstanz ergab, dass die Beschwerdeführerin in der Türkei in psychiatrischer Behandlung gewesen sei und Medikamente gegen Depression eingenommen habe. Weitere Dokumente zur Gesundheit der Beschwerdeführerin, insbesondere Arztberichte, welche eine Intensivbetreuung und eine spezialisierte Behandlung für Folter- und Kriegsopfer empfehlen würden, finden sich nicht in den Akten. In der Verfügung ist die Vorinstanz auf die psychischen Probleme der Beschwerdeführerin eingegangen und hat dargetan, es gebe keine Hinweise, dass die medizinische Versorgung in Slowenien nicht gewährleistet sei. Die Vor-instanz ist somit ihrer Begründungspflicht genügend nachgekommen, zumal die Beschwerdeführer in der Lage waren, die Verfügung sachgerecht anzufechten.</w:t>
      </w:r>
    </w:p>
    <w:p>
      <w:r>
        <w:rPr>
          <w:b/>
        </w:rPr>
        <w:t>E. 4.4</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5.1</w:t>
      </w:r>
    </w:p>
    <w:p>
      <w:r>
        <w:t>Gemäss Art. 31a Abs. 1 Bst. b AsylG tritt die Vorinstanz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 Die Beschwerdeführer haben in Slowenien ein Asylgesuch eingereicht, womit es sich vorliegend um ein Wiederaufnahmeverfahren handelt und keine erneute Zuständigkeitsprüfung nach Kapitel III erfolgt. Die slowenischen Behörden stimmten dem Übernahmeersuchen der Vorinstanz innert der in Art. 25 Abs. 1 Dublin-III-VO vorgesehenen Frist zu. Die Zuständigkeit Sloweniens ist somit grundsätzlich gegeben.</w:t>
      </w:r>
    </w:p>
    <w:p>
      <w:r>
        <w:rPr>
          <w:b/>
        </w:rPr>
        <w:t>E. 5.3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begründet ihren Entscheid damit, es würden keine konkreten Anhaltspunkte dafür vorliegen, dass sich Slowenien nicht an seine völkerrechtlichen Verpflichtungen halte, das Asyl- und Wegweisungsverfahren nicht korrekt durchführe oder den Beschwerdeführern eine medizinische Behandlung verweigert hätte oder künftig verweigern würde. Es lägen demnach keine Gründe für die Anwendung der Souveränitätsklausel gemäss Art. 17 Dublin-III-VO vor.</w:t>
      </w:r>
    </w:p>
    <w:p>
      <w:r>
        <w:rPr>
          <w:b/>
        </w:rPr>
        <w:t>E. 6.2</w:t>
      </w:r>
    </w:p>
    <w:p>
      <w:r>
        <w:t>Die Beschwerdeführer bringen gegen ihre Überstellung nach Slowenien vor, die Beschwerdeführerin leide an einer schweren posttraumatischen Belastungsstörung; sie bedürfe der Medikamente, einer 1:1-Betreuung und einer spezialisierten Behandlung für Folter- und Kriegsopfer. Das Bundesverwaltungsgericht habe im Urteil E-1732/2013 vom 15. Mai 2014 festgehalten, Slowenien verfüge über kein Ambulatorium für Folter- und Kriegsopfer, weshalb von einer Rückführung von Folter- und Kriegsopfern abgesehen werden müsse. Eine Rückführung würde einen Verstoss gegen Art. 3 EMRK darstellen. Die Vorinstanz sei daher anzuweisen, von ihrem Selbsteintrittsrecht Gebrauch zu machen.</w:t>
      </w:r>
    </w:p>
    <w:p>
      <w:r>
        <w:rPr>
          <w:b/>
        </w:rPr>
        <w:t>E. 6.3</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Pflichten nach. Ferner gelten auch in Slowenien die Verfahrensrichtlinie, die Qualifikationsrichtlinie und die Aufnahmerichtlinie des Europäischen Parlaments und Rats. Es gibt keine Hinweise darauf, dass Slowenien im vorliegenden Fall die staatsvertraglichen Verpflichtungen missachtet und die Beschwerdeführer in Slowenien einer menschenunwürdigen oder erniedrigenden Behandlung ausgesetzt wären (Art. 3 EMRK). Eine zwangsweise Rückweisung von Personen mit gesundheitlichen Problemen kann nur ganz ausnahmsweise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Gemäss neuerer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Solches ist vorliegend nicht gegeben. Gemäss den Abklärungen der Vorinstanz war die Beschwerdeführerin in der Türkei in psychiatrischer Behandlung und nahm Medikamente gegen Depression ein. Dass die Beschwerdeführerin ein Folter- oder Kriegsopfer ist, lässt sich weder ihren Aussagen an der Befragung noch den übrigen Akten entnehmen. Die vorhandenen psychischen Probleme stehen einem Vollzug der Wegweisung nach Slowenien somit nicht entgegen. Die Mitgliedstaaten der Europäischen Union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Slowenien der Beschwerdeführerin eine allenfalls nötige, adäquate medizinische Behandlung verweigern würde, gibt es keine Hinweise. Für einen Selbsteintritt der Schweiz gemäss Art. 17 Dublin-III-VO besteht demnach keine Veranlassung.</w:t>
      </w:r>
    </w:p>
    <w:p>
      <w:r>
        <w:rPr>
          <w:b/>
        </w:rPr>
        <w:t>E. 6.4</w:t>
      </w:r>
    </w:p>
    <w:p>
      <w:r>
        <w:t>Aus den Erwägungen ergibt sich, dass die angefochtene Verfügung kein Bundesrecht verletzt und auch sonst nicht zu beanstanden ist (Art. 106 AsylG und Art. 49 VwVG). Die Beschwerde ist somit abzuweisen.</w:t>
      </w:r>
    </w:p>
    <w:p>
      <w:r>
        <w:rPr>
          <w:b/>
        </w:rPr>
        <w:t>E. 7.1</w:t>
      </w:r>
    </w:p>
    <w:p>
      <w:r>
        <w:t>Die gestellten Rechtsbegehren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8</w:t>
      </w:r>
    </w:p>
    <w:p>
      <w:r>
        <w:t>Mit dem vorliegenden Urteil fällt der am 13. Juli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