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E-4018/2024 vom 10. Juli 2024</w:t>
      </w:r>
    </w:p>
    <w:p>
      <w:r>
        <w:t>Bundesverwaltungsgericht, 2024-07-10, DE</w:t>
      </w:r>
    </w:p>
    <w:p>
      <w:r>
        <w:rPr>
          <w:b/>
        </w:rPr>
        <w:t xml:space="preserve">Quelle: </w:t>
      </w:r>
      <w:r>
        <w:t>https://mcp.opencaselaw.ch/entscheid/bvger_E-4018_2024</w:t>
      </w:r>
    </w:p>
    <w:p>
      <w:r>
        <w:t>FR: TAF E-4018/2024 du 10 juillet 2024</w:t>
      </w:r>
    </w:p>
    <w:p>
      <w:r>
        <w:t>IT: TAF E-4018/2024 del 10 luglio 2024</w:t>
      </w:r>
    </w:p>
    <w:p>
      <w:pPr>
        <w:pStyle w:val="Heading2"/>
      </w:pPr>
      <w:r>
        <w:t>Regeste</w:t>
      </w:r>
    </w:p>
    <w:p>
      <w:r>
        <w:t>Flughafenverfahren (vorläufige Verweigerung der Einreise in die Schweiz und Zuweisung eines Aufentha</w:t>
      </w:r>
    </w:p>
    <w:p>
      <w:pPr>
        <w:pStyle w:val="Heading2"/>
      </w:pPr>
      <w:r>
        <w:t>Erwägungen</w:t>
      </w:r>
    </w:p>
    <w:p>
      <w:r>
        <w:rPr>
          <w:b/>
        </w:rPr>
        <w:t>E. 4</w:t>
      </w:r>
    </w:p>
    <w:p>
      <w:r>
        <w:t>Juni 2024 besonders berührt ist und ein schutzwürdiges Interesse an dessen Aufhebung oder Änderung hat, weshalb er zur Einreichung des Re- visionsgesuchs legitimiert ist (Art. 89 Abs. 1 BGG analog), dass das Bundesverwaltungsgericht seine Urteile aus den in Art. 121–123 BGG aufgeführten Gründen in Revision zieht (Art. 45 VGG), sofern sie nicht bereits im ordentlichen Beschwerdeverfahren hätten geltend gemacht werden können (Art. 123 Abs. 2 Bst. a BGG e contrario; Art. 46 VGG sinn- gemäss), dass an die Begründung ausserordentlicher Rechtsmittel erhöhte Anforde- rungen gestellt werden, das Gesetz die Revisionsgründe eng umschreibt und die Rechtsprechung diese restriktiv handhabt (vgl. ELISABETH ESCHER, in: Niggli/Uebersax/Wiprächtiger [Hrsg.], Basler Kommentar zum Bundes- gerichtsgesetz, 3. Aufl., 2018 Art. 121 N 1; NICOLAS VON WERDT in: Sei- ler/von Werdt/Güngerich/Oberholzer, Stämpflis Handkommentar SHK, Bundesgerichtsgesetz, 2. Aufl. 2015, Art. 121 N 9),</w:t>
      </w:r>
    </w:p>
    <w:p>
      <w:r>
        <w:t>E-4018/2024 Seite 4 dass der Gesuchsteller das Revisionsgesuch einerseits damit begründet, das Gericht habe es in seinem Urteil unterlassen, die Rechtmässigkeit und Angemessenheit der Zuweisung des Aufenthaltsortes (Art. 108 Abs. 5 AsylG) antragsgemäss zu beurteilen, zumal er dargelegt habe, dass der materielle Asylentscheid des SEM nicht innerhalb der 20-tägigen Frist im Sinne von Art. 23 Abs. 2 AsylG ergangen sei, sein Aufenthalt in der Tran- sitzone nach Verstreichen dieser Frist demgemäss nicht mehr rechtmässig gewesen sei, das Gericht sich aber mit dieser Frage nicht auseinanderge- setzt habe, dass sich der Gesuchsteller damit auf den Revisionsgrund von Art. 121 Abs. 1 Bst. c BGG beruft, dass ein Antrag erst dann als unbeurteilt geblieben gilt, wenn angenommen werden muss, das Gericht habe nicht zumindest stillschweigend darüber befunden (vgl. BVGE 2011/18 E. 4), dass dem Urteil E-3363/2024 vom 4. Juni 2024 zu entnehmen ist, dass das Gericht die 20-tägige Frist als reine Ordnungsfrist qualifizierte und es wei- ter festhielt, angesichts des Umstandes, dass inzwischen ein materieller Asylentscheid gefällt worden sei, aus Art. 23 AsylG kein Anspruch auf Ein- reise mehr abgeleitet werden könne, dass sich für das Gericht folglich kein Wechsel des Aufenthaltsortes des Gesuchstellers aufdrängte und es sich damit zumindest implizit zur Ange- messenheit und Rechtmässigkeit des Aufenthaltes äusserte, dass angesichts des Dargelegten festzustellen ist, dass das in Frage ste- hende Begehren nicht unbeurteilt geblieben und ergänzend anzumerken ist, dass vorliegend nicht zu prüfen ist, ob die (in casu implizite) Beurteilung rechtlich korrekt war, da dies voraussetzen würde, dass ein gesetzlicher Revisionsgrund überhaupt erfüllt wäre (vgl. NIGGLI et al., in: Basler Kom- mentar, Bundesgerichtsgesetz, 3. Aufl. 2018, Art. 121 N. 1), dass, soweit sich der Beschwerdeführer unter Hinweis auf einen am 31. Mai 2024 vom UNO-Ausschuss für Folter (CAT) an die Schweizer Be- hörden gerichteten Vollzugsstopp auf den Revisionsgrund von Art. 123 Abs. 2 Bst. a BGG beruft, er die Erheblichkeit dieser Tatsache nicht darlegt – insbesondere auch nicht mit der im Zeitpunkt der Einreichung des Revi- sionsgesuchs von ihm prognostizierten Überschreitung der 60-Tage-Frist gemäss Art. 22 Abs. 5 AsylG,</w:t>
      </w:r>
    </w:p>
    <w:p>
      <w:r>
        <w:t>E-4018/2024 Seite 5 dass diesbezüglich anzumerken bleibt, dass nicht auszuschliessen ist, dass er bei tatsächlicher Fristausschöpfung einem Kanton oder einem Bun- desasylzentrum zugeführt wird und ferner im Rahmen des vorliegenden Revisionsverfahrens keine nach dem hier prozessgegenständlichen Urteil eingetretenen Lebenssachverhalte zu beurteilen sind, dass aufgrund des Vorstehenden auf die Ausführungen des Gesuchstellers zu erfolglosen Zustellungsversuchen der CAT-Anordnung an das Gericht per Fax nicht weiter einzugehen ist, dass der Gesuchsteller mit seinem Revisionsgesuch insgesamt keine Um- stände darlegen kann, aufgrund welcher das in Frage stehende Urteil auf- gehoben und in der Sache neu entschieden werden müsste (vgl. Art. 128 Abs. 1 BGG), dass damit auf die Ausführungen im Revisionsgesuch betreffend unrecht- mässige Freiheitsentziehung und zur Verletzung von Völkerrecht nicht wei- ter einzugehen ist, dass nach dem Gesagten den im Revisionsgesuch gestellten Begehren um Erteilung vorsorglicher Einreisebewilligung und auf Feststellung diver- ser Rechtsverletzungen sowie den gestellten Entschädigungs- bezie- hungsweise Genugtuungsansprüchen wegen Freiheitsentzug (vgl. Rechts- begehren 3 – 7) die Grundlage entzogen ist, weshalb sich eine Auseinan- dersetzung damit erübrigt, dass das Revisionsgesuch abzuweisen ist, soweit darauf eingetreten wer- den kann, dass in Anbetracht der sich aus den vorstehenden Ausführungen ergeben- den Aussichtslosigkeit der gestellten Begehren das Gesuch um Gewäh- rung der unentgeltlichen Prozessführung abzuweisen ist (vgl. Art. 65 Abs. 1 VwVG) und mit vorliegendem Urteil der Antrag auf Verzicht auf Er- hebung eines Kostenvorschusses gegenstandslos geworden ist, dass bei diesem Ausgang des Verfahrens die Verfahrenskosten dem Ge- suchsteller aufzuerlegen (Art. 63 Abs. 1 VwVG) und auf Fr. 1’500.– festzu- setzen sind (Art. 1–3 des Reglements vom 21. Februar 2008 über die Kos- ten und Entschädigungen vor dem Bundesverwaltungsgericht [VGKE; SR 173.320.2]). (Dispositiv nächste Seite)</w:t>
      </w:r>
    </w:p>
    <w:p>
      <w:r>
        <w:t>E-4018/2024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