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E-4017/2014 vom 5. August 2015</w:t>
      </w:r>
    </w:p>
    <w:p>
      <w:r>
        <w:t>Bundesverwaltungsgericht, 2015-08-05, DE</w:t>
      </w:r>
    </w:p>
    <w:p>
      <w:r>
        <w:rPr>
          <w:b/>
        </w:rPr>
        <w:t xml:space="preserve">Quelle: </w:t>
      </w:r>
      <w:r>
        <w:t>https://mcp.opencaselaw.ch/entscheid/bvger_E-4017_2014</w:t>
      </w:r>
    </w:p>
    <w:p>
      <w:r>
        <w:t>FR: TAF E-4017/2014 du 5 août 2015</w:t>
      </w:r>
    </w:p>
    <w:p>
      <w:r>
        <w:t>IT: TAF E-4017/2014 del 5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glaubte der Beschwerdeführerin weder die vorgetragene Deportation von Äthiopien nach Eritrea noch die geltend gemachte Inhaftierung in Eritrea. Sie gelangte deshalb zum Schluss, dass davon auszugehen sei, die Beschwerdeführerin sei von Äthiopien direkt nach Kenia gelangt. Es ist mithin zunächst der Frage nachzugehen, ob die Vor-instanz zu Recht von der Unglaubhaftigkeit dieser Vorbringen ausgegangen ist, oder ob die Beschwerdeführerin sich - wie von ihr behauptet - vor ihrer Ausreise tatsächlich in Eritrea aufgehalten hat und von dort aus nach Kenia ausgereist ist. Wie von der Vorinstanz in ihrer Verfügung ausführlich dargelegt, bekundete die Beschwerdeführerin grosse Mühe, ihre Deportation und ihre Inhaftierung zeitlich einzuordnen. Auch bleibt ungeklärt, ob dies einer krankheits- oder altersbedingten Gedächtnisschwäche zuzuschreiben ist. So wurde zwar bereits im Rahmen des Gesuchs um Familienvereinigung darauf hingewiesen, dass die Beschwerdeführerin an Gedächtnisverlust leide (vgl. A1/3 und A2). Zudem gab auch der Pflegesohn anlässlich seiner Anhörung vom 30. Januar 2014 zu Protokoll, er habe sich in Kenia um die Beschwerdeführerin kümmern müssen, weil sie Gedächtnisprobleme habe (vgl. B13/11, F119 ff.). Indessen hat die Beschwerdeführerin, trotz Aufforderung durch das Gericht, kein aktuelles Arztzeugnis bezüglich dieser Leiden eingereicht. Nichtsdestotrotz erscheinen die Angaben der Beschwerdeführerin bezüglich ihrer Deportation und ihrer Inhaftierung, nicht zuletzt vor dem Hintergrund der Schilderungen ihres in der Schweiz lebenden leiblichen Sohnes im Rahmen seines eigenen Asylverfahrens, überwiegend glaubhaft. In diesem Zusammenhang ist zu erwähnen, dass die im Rahmen der Vernehmlassung vom 28. August 2014 von der Vor-instanz gegen die Beweiskraft der Schilderungen des leiblichen Sohnes der Beschwerdeführerin angeführte Argumentation - diesem sei erst auf sein zweites Asylgesuch hin Asyl gewährt worden - insofern unbehilflich ist, als dessen vorliegend interessierende Vorbringen im ersten Asylverfahren aufgrund neuer erheblicher Tatsachen im zweiten Verfahren schliesslich weitgehend geglaubt wurden. Bezüglich des Deportationsvorbringens der Beschwerdeführerin trug deren leiblicher Sohn - wie aus dem auf Beschwerdeebene eingereichten Protokoll der Anhörung vom 27. Mai 2003 hervorgeht - in Übereinstimmung mit den Angaben seiner Mutter bereits damals vor, dass er mit seiner Familie in [Äthiopien] aufgewachsen sei und sein Vater ein ranghoher Militär der DERG-Regierung gewesen sei, der später festgenommen worden und im Gefängnis in Äthiopien gestorben sei (vgl. S. 5 und 7 des Protokolls vom 27. Mai 2003 sowie B4/10, Rz. 1.14 und B12/17, F24 und 27 f.). Ferner machte er im Einklang mit den Angaben der Beschwerdeführerin geltend, dass diese nach dem Tod seines Vaters - d.h. im Jahr 2001 - nach Eritrea deportiert worden sei (vgl. S. 7 und 9 des Protokolls vom 27. Mai 2003 sowie B4/10, Rz. 1.14 und 7.02). Das Deportationsvorbringen der Beschwerdeführerin erscheint denn auch vor dem Hintergrund der geschichtlichen Ereignisse nicht abwegig, wurden zwischen 1998 und 2002 doch tatsächlich zahlreiche Personen eritreischer Abstammung von Äthiopien nach Eritrea deportiert (vgl. Entscheidungen und Mitteilungen der Schweizerischen Asylrekurskommission [EMARK] 2005 Nr. 12 E. 7.1). Überdies sind die Aussagen der Beschwerdeführerin zu ihrer Rückschaffung in zeitlicher Hinsicht zwar wirr, ansonsten indes nicht völlig widersprüchlich, machte sie doch anlässlich der beiden Befragungen wiederholt geltend, nach dem Tod ihres Ehemannes von Äthiopien nach Eritrea deportiert worden zu sein (vgl. B4/10, Rz. 1.14 und 1.17.05; B12/17, F9, F14, F16, F19, F27f., F148). Bezüglich des Vorbringens der Beschwerdeführerin, in Eritrea inhaftiert gewesen zu sein, ist darauf hinzuweisen, dass deren leiblicher Sohn anlässlich seiner Anhörung vom 27. Mai 2003 vortrug, dass sein Vater nach der Unabhängigkeit Eritreas dorthin zurückgekehrt sei, mit der Absicht, die Familie später nachzuziehen. Weil die Eritreer indes herausgefunden hätten, dass er ein ranghoher Militär in der DERG-Regierung gewesen sei, hätten sie ihn - nach sechsmonatiger Haft - des Landes verwiesen, wobei er unterschriftlich habe bestätigen müssen, dass er nie wieder nach Eritrea zurückkehren werde (vgl. S. 7 des Protokolls vom 27. Mai 2003). Vor diesem Hintergrund erscheint es nicht unplausibel, dass die Beschwerdeführerin kurze Zeit nach ihrer Rückkehr nach Eritrea inhaftiert wurde. So gab sie anlässlich der beiden Befragungen denn auch zu Protokoll, dass die eritreischen Behörden geglaubt hätten, sie sei eine Spionin der äthiopischen Regierung (vgl. B4/10, Rz. 7.02; B12/17, F 61 und F84 f.). Überdies wurde in der Beschwerde zu Recht darauf hingewiesen, dass die Beschwerdeführerin bezüglich der vorgetragenen Inhaftierung in Eritrea zwar keine genauen zeitlichen Angaben habe machen können, ihre Ausführungen indessen nicht völlig vage, oberflächlich und widersprüchlich seien (vgl. B12/17, F61, F65 ff., F72 ff.). Nach dem Gesagten erscheint es - entgegen der Ansicht der Vorinstanz - überwiegend glaubhaft, dass die Beschwerdeführerin um das Jahr 2001 herum von den äthiopischen Behörden nach Eritrea deportiert und dort inhaftiert wurde. Mithin ist auch davon auszugehen, dass sich die Beschwerdeführerin vor ihrer Ausreise tatsächlich in Eritrea aufgehalten hat und von dort aus nach Kenia gelangt ist.</w:t>
      </w:r>
    </w:p>
    <w:p>
      <w:r>
        <w:rPr>
          <w:b/>
        </w:rPr>
        <w:t>E. 4.2</w:t>
      </w:r>
    </w:p>
    <w:p>
      <w:r>
        <w:t>Folglich ist in einem zweiten Schritt der Frage nachzugehen, ob die Beschwerdeführerin im Zeitpunkt ihrer Ausreise ernsthaften Nachteilen im Sinne von Art. 3 AsylG ausgesetzt war. Nach Angaben der Beschwerdeführerin habe sie sich nach ihrer Entlassung aus dem Gefängnis des Sohnes ihrer in Haft verstorbenen Freundin angenommen. Damals sei dieser (...) Jahre alt gewesen (vgl. B12/17, F39, F42 und F68). Dies wird vom Pflegesohn selbst bestätigt (vgl. B13/11, F7 und F40). Da der Pflegesohn im Jahr (...) geboren wurde, musste die Beschwerdeführerin das Gefängnis mithin im Jahr 2007 oder noch davor verlassen haben. Folglich sind zwischen dem Austritt aus dem Gefängnis und ihrer Flucht aus Eritrea im Jahr 2009 mindestens zwei Jahre vergangen. In diesen zwei Jahren will die Beschwerdeführerin insofern Probleme mit den eritreischen Behörden gehabt haben, als es ihr verwehrt gewesen sei, günstig Nahrungsmittel von der Verwaltung zu beziehen (vgl. B4/10, Rz. 7). Indessen sei sie von ihrem in der Schweiz lebenden leiblichen Sohn finanziell unterstützt worden (vgl. B4/10, Rz. 1.17.05 und 7.02). So berichtete denn auch der Pflegesohn anlässlich der beiden Befragungen nichts davon, dass sie im Zusammenhang mit den Problemen der Beschwerdeführerin an Nahrungsmittelknappheit gelitten hätten. Folglich dürfte die vorgetragene Verweigerung des Bezugs günstiger Nahrungsmittel die Beschwerdeführerin nicht in die vom Asylgesetz geforderte Zwangslage versetzt haben, welche ihr ein menschenwürdiges Leben in Eritrea verunmöglicht oder in unzumutbarem Ausmass erschwert hätte (vgl. BVGE 2010/28 E. 3.3.1.1). Ferner trug die Beschwerdeführerin vor, dass sie sich nach ihrer Entlassung aus dem Gefängnis nicht mehr habe frei bewegen dürfen. Sie habe ein Papier unterzeichnen müssen, wonach sie E._______ nicht mehr verlassen dürfe, welches sie bei jeder Reise habe auf sich tragen und vorweisen müssen (vgl. B4/10, Rz. 7.02; B12/17, F82 und F89). Dieses Vorbringen erscheint insofern unplausibel, als nicht ersichtlich ist, wie die eritreischen Behörden eine Person lediglich mittels eines von dieser mitzuführenden und vorzuweisenden Dokuments an der Ausreise aus einer [grösseren Stadt] hindern sollten. Abgesehen davon weist dieser geltend gemachte Hausarrest objektiv gesehen ohnehin nicht die Intensität einer asylrelevanten Verfolgung auf und dürfte die Beschwerdeführerin auch nicht einem unerträglichen psychischen Druck im Sinne des Asylgesetztes ausgesetzt haben (vgl. BVGE 2010/28 E. 3.3.1.1). Dem Gefängnisaufenthalt alleine fehlt es angesichts der mindestens zwei Jahre, welche sich die Beschwerdeführerin danach noch in Eritrea aufgehalten hat, am zeitlichen Kausalzusammenhang zur Flucht. Nach dem Gesagten kommt das Bundesverwaltungsgericht zum Schluss, dass die Beschwerdeführerin im Zeitpunkt ihrer Ausreise aus Eritrea keinen ernsthaften Nachteilen im Sinne von Art. 3 AsylG ausgesetzt war.</w:t>
      </w:r>
    </w:p>
    <w:p>
      <w:r>
        <w:rPr>
          <w:b/>
        </w:rPr>
        <w:t>E. 4.3</w:t>
      </w:r>
    </w:p>
    <w:p>
      <w:r>
        <w:t>Da es - wie in E. 4.1 ausgeführt - überwiegend glaubhaft erscheint, dass die Beschwerdeführerin um das Jahr 2001 herum von den äthiopischen Behörden nach Eritrea deportiert und dort inhaftiert wurde, bleibt zu prüfen, ob sie wegen ihrer Ausreise aus Eritrea bei einer Rückkehr dorthin - mithin wegen subjektiver Nachfluchtgründe - befürchten müsste, ernsthaften Nachteilen im Sinne von Art. 3 AsylG ausgesetzt zu werden.</w:t>
      </w:r>
    </w:p>
    <w:p>
      <w:r>
        <w:rPr>
          <w:b/>
        </w:rPr>
        <w:t>E. 4.3.1</w:t>
      </w:r>
    </w:p>
    <w:p>
      <w:r>
        <w:t>Als subjektive Nachfluchtgründe gelten insbesondere das illegale Verlassen des Heimatlandes (sog. Republikflucht), die Einreichung eines Asylgesuchs im Ausland oder eine aus Sicht der heimatlichen Behörden unerwünschte exilpolitische Betätigungen, wenn sie die Gefahr einer zukünftigen Verfolgung begründen. Personen mit subjektiven Nachfluchtgründen erhalten zwar gemäss Art. 54 AsylG kein Asyl, werden indes als Flüchtlinge vorläufig aufgenommen (vgl. EMARK 2006 Nr. 1 E. 6.1 m.w.H.). Durch Republikflucht zum Flüchtling wird, wer sich aufgrund der unerlaubten Ausreise mit Sanktionen seines Heimatlandes konfrontiert sieht, die bezüglich ihrer Intensität und der politischen Motivation des Staates ernsthafte Nachteile gemäss Art. 3 Abs. 2 AsylG darstellen.</w:t>
      </w:r>
    </w:p>
    <w:p>
      <w:r>
        <w:rPr>
          <w:b/>
        </w:rPr>
        <w:t>E. 4.3.2</w:t>
      </w:r>
    </w:p>
    <w:p>
      <w:r>
        <w:t>Eritreische Staatsbürger, die illegal aus dem Land ausreisen, werden vom eritreischen Regime als Staatsfeinde angesehen und müssen im Falle einer Rückkehr mit drakonischen Strafen rechnen, mit denen das Regime der sinkenden Wehrbereitschaft und der Massenfluchtbewegung in der Bevölkerung Herr zu werden versucht. Ein legales Verlassen des Landes ist gemäss Art. 11 der "Proclamation No. 24/1992" - welche die Ein- und Ausreise nach und von Eritrea regelt - lediglich mit einem gültigen Reisepass und einem zusätzlichen Ausreisevisum möglich. In der Praxis werden Ausreisevisa seit mehreren Jahren nur unter sehr strengen Bedingungen und gegen Bezahlung hoher Geldbeträge an wenige, als loyal beurteilte Personen ausgestellt, wobei Kinder ab elf Jahren, Männer bis zum Alter von 54 Jahren und Frauen bis 47 Jahre grundsätzlich gänzlich von der Visumserteilung ausgeschlossen sind (vgl. Entscheid des BVGer D-3892/2008 vom 6. April 2010 E. 5.3.2).</w:t>
      </w:r>
    </w:p>
    <w:p>
      <w:r>
        <w:rPr>
          <w:b/>
        </w:rPr>
        <w:t>E. 4.3.3</w:t>
      </w:r>
    </w:p>
    <w:p>
      <w:r>
        <w:t>Die im Zeitpunkt der Ausreise (...)-jährige Beschwerdeführerin war zwar aufgrund ihres Alters nicht eindeutig von einer Visumserteilung ausgeschlossen. Indes gilt sie angesichts ihres Gefängnisaufenthalts in Eritrea - welcher wie in E. 4.1 ausgeführt überwiegend glaubhaft erscheint - wohl kaum als loyale Person. Zudem ist - angesichts der übereinstimmenden Angaben der Beschwerdeführerin und ihres Pflegesohnes (vgl. B4/10, Rz. 3.04 und 5.01; B12/17, F42, F63, F112, F117, F123, F128 ff.; B13/11, F7, F23, F40 ff., F68 ff., F106) - davon auszugehen, dass die Beschwerdeführerin zusammen mit B._______, der im Zeitpunkt der Ausreise ungefähr (...) Jahre alt und somit in jedem Fall von einer Visumserteilung ausgeschlossen war, aus Eritrea ausgereist ist. Demnach dürfte auch die Beschwerdeführerin Eritrea illegal verlassen haben.</w:t>
      </w:r>
    </w:p>
    <w:p>
      <w:r>
        <w:rPr>
          <w:b/>
        </w:rPr>
        <w:t>E. 4.3.4</w:t>
      </w:r>
    </w:p>
    <w:p>
      <w:r>
        <w:t>Eritreische Staatsangehörige, die illegal aus ihrem Heimatland ausreisen, haben - unabhängig von ihrem Alter und vom Grund der Ausreise - bei einer Rückkehr nicht nur eine Gefährdung nach Art. 3 EMRK zu befürchten. Vielmehr drohen ihnen ernsthafte Nachteile im Sinne von Art. 3 AsylG, da der Bestrafung wegen illegaler Ausreise durch das eritreische Regime neben rechtsstaatlich nicht legitimen Sanktionsgründen auch die Verdächtigung der Betroffenen als Regimegegner und mithin als politische Oppositionelle, und somit ein flüchtlingsrelevantes Verfolgungsmotiv, zugrunde liegt. Die Beschwerdeführerin erfüllt entgegen der Ansicht der Vorinstanz die Anforderungen an die Flüchtlingseigenschaft und ist somit als Flüchtling anzuerkennen (vgl. auch Entscheide des BVGer E-2038/2014 vom 1. Mai 2014 E. 4.3 und E-2004/2014 vom 14. April 2015 E. 4.2). Hingegen erfüllt sie die Flüchtlingseigenschaft einzig aufgrund von subjektiven Nachfluchtgründen; die Vorinstanz hat ihr Asylgesuch daher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Da die Beschwerdeführerin weder über eine ausländerrechtliche Aufenthaltsbewilligung noch über einen Anspruch auf Erteilung einer solchen verfügt, wurde die Wegweisung zu Recht angeordnet (vgl. BVGE 2013/37 E. 4.4 sowie BVGE 2009/50 E. 9).</w:t>
      </w:r>
    </w:p>
    <w:p>
      <w:r>
        <w:rPr>
          <w:b/>
        </w:rPr>
        <w:t>E. 6.1</w:t>
      </w:r>
    </w:p>
    <w:p>
      <w:r>
        <w:t>Ist der Vollzug der Wegweisung nicht zulässig, nicht zumutbar oder nicht möglich, so regelt die Vorinstanz das Anwesenheitsverhältnis nach den gesetzlichen Bestimmungen über die vorläufige Aufnahme (Art. 44 AsylG; Art. 83 Abs. 1 AuG).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w:t>
      </w:r>
    </w:p>
    <w:p>
      <w:r>
        <w:t>Die Beschwerdeführerin erfüllt die Flüchtlingseigenschaft. Sie darf somit aufgrund des flüchtlingsrechtlichen Refoulementverbots nach Art. 5 Abs. 1 AsylG und Art. 33 Abs. 1 FK nicht zur Ausreise in ihr Heimatland gezwungen werden. Der Vollzug der Wegweisung ist daher als unzulässig zu bezeichnen.</w:t>
      </w:r>
    </w:p>
    <w:p>
      <w:r>
        <w:rPr>
          <w:b/>
        </w:rPr>
        <w:t>E. 7</w:t>
      </w:r>
    </w:p>
    <w:p>
      <w:r>
        <w:t>Vor dem Hintergrund obiger Erwägungen ist festzuhalten, dass die Vor-instanz das Asylgesuch der Beschwerdeführerin zu Recht abgelehnt hat. In diesem Punkt ist die Beschwerde abzuweisen. Die Beschwerde ist allerdings bezüglich der Flüchtlingseigenschaft gutzuheissen. Die Ziffern 1 und 4 der vorinstanzlichen Verfügung vom 17. Juni 2014 sind aufzuheben und das SEM ist anzuweisen, die Beschwerdeführerin in der Schweiz als Flüchtling anzuerkennen und infolge Unzulässigkeit des Wegweisungsvollzugs vorläufig aufzunehmen.</w:t>
      </w:r>
    </w:p>
    <w:p>
      <w:r>
        <w:rPr>
          <w:b/>
        </w:rPr>
        <w:t>E. 8.1</w:t>
      </w:r>
    </w:p>
    <w:p>
      <w:r>
        <w:t>Bei diesem Ausgang des Verfahrens wären die reduzierten Verfahrenskosten der Beschwerdeführerin aufzuerlegen (Art. 63 Abs. 1 VwVG) und auf insgesamt Fr. 300.- festzusetzen (Art. 1-3 des Reglements vom 21. Februar 2008 über die Kosten und Entschädigungen vor dem Bundesverwaltungsgericht [VGKE, SR 173.320.2]). Die Beschwerdeführerin stellte in ihrer Rechtsmitteleingabe vom 17. Juli 2014 jedoch ein Gesuch um unentgeltliche Rechtspflege im Sinne von Art. 65 Abs. 1 VwVG, welches das Gericht mit Instruktionsverfügung vom 19. August 2014 guthiess. Folglich werden von der Beschwerdeführerin keine Verfahrenskosten erhoben.</w:t>
      </w:r>
    </w:p>
    <w:p>
      <w:r>
        <w:rPr>
          <w:b/>
        </w:rPr>
        <w:t>E. 8.2</w:t>
      </w:r>
    </w:p>
    <w:p>
      <w:r>
        <w:t>Der Beschwerdeführerin ist angesichts des hälftigen Obsiegens im Beschwerdeverfahren in Anwendung von Art. 64 Abs. 1 VwVG eine um die Hälfte ermässigte Parteientschädigung für ihr erwachsenen notwendigen Vertretungskosten zuzusprechen (vgl. Art. 7 VGKE). Im Umfang des Unterliegens ist sodann zu Lasten des Gerichts eine Entschädigung für die als amtliche Rechtsbeiständin ernannte Rechtsvertreterin zuzusprechen. Gemäss Art. 12 VGKE sind für amtlich bestellte Anwälte die Art. 8-11 VGKE anwendbar. Die Rechtsvertreterin reichte am 30. Juni 2015 eine Kostennote betreffend den Aufwand für das Verfahren der Beschwerdeführerin und ihres Pflegesohnes ein. Der darin für die Ausarbeitung (inklusive Redigieren) der Beschwerdebegründungen ausgewiesene Aufwand von 8.75 Stunden zu zwei verschiedenen Stundenansätzen erscheint nicht vollumfänglich angemessen und ist mithin zu kürzen. Das Gericht erachtet eine Kürzung um 2 Stunden zum tieferen Stundenansatz von Fr. 115.-, total Fr. 230.-, als angemessen. Der Gesamtaufwand für das Verfahren der Beschwerdeführerin und ihres Pflegesohnes beläuft sich mithin auf Fr. 3'045.- (inkl. MwSt. und Auslagen). Da das Verfahren der Beschwerdeführerin mit grösserem Aufwand verbunden war als das Verfahren ihres Pflegesohnes - betreffen doch die Eingaben vom 18. August, 25. August und 19. September 2014 im Wesentlichen nur die Beschwerdeführerin - ist der auf die Beschwerdeführerin entfallende Anteil bei zwei Dritteln der Gesamtkosten, das heisst bei Fr. 2'030.-, anzusetzen. Diese Kosten gehen je hälftig zu Lasten der Vorinstanz und des Bundesverwaltungsgerichts.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