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E-4015/2016 vom 8. Dezember 2016</w:t>
      </w:r>
    </w:p>
    <w:p>
      <w:r>
        <w:t>Bundesverwaltungsgericht, 2016-12-08, FR</w:t>
      </w:r>
    </w:p>
    <w:p>
      <w:r>
        <w:rPr>
          <w:b/>
        </w:rPr>
        <w:t xml:space="preserve">Quelle: </w:t>
      </w:r>
      <w:r>
        <w:t>https://mcp.opencaselaw.ch/entscheid/bvger_E-4015_2016</w:t>
      </w:r>
    </w:p>
    <w:p>
      <w:r>
        <w:t>FR: TAF E-4015/2016 du 8 décembre 2016</w:t>
      </w:r>
    </w:p>
    <w:p>
      <w:r>
        <w:t>IT: TAF E-4015/2016 del 8 dicembre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pertinence de leurs motifs. Le Tribunal constate d'ores et déjà que seule B._______ a fait valoir des causes d'asile, son époux n'ayant quant à lui soulevé aucun motif personnel pertinent.</w:t>
      </w:r>
    </w:p>
    <w:p>
      <w:r>
        <w:rPr>
          <w:b/>
        </w:rPr>
        <w:t>E. 3.2</w:t>
      </w:r>
    </w:p>
    <w:p>
      <w:r>
        <w:t>La recourante a décrit les circonstances dans lesquelles elle aurait été menacée de mort, et superficiellement blessée, par des inconnus lui reprochant une activité professionnelle contraire à la religion. Bien que la description qu'elle a faite de cet épisode soit peu précise, le Tribunal n'en remet pas en question la crédibilité. En effet, les thérapeutes en charge de son cas attribuent son état de santé perturbé au traumatisme subi en cette occasion. Par ailleurs, il est plausible qu'une femme travaillant comme mannequin, participant à des défilés de mode, et dont la photographie sert de support à des campagnes publicitaires, soulève l'hostilité des tenants d'un islam radical. Cela étant, l'intéressée aurait regagné H._______ aussitôt après cette agression, ne serait jamais revenue à Alger depuis lors et aurait définitivement cessé son activité professionnelle. Durant toute l'année 2014, passée à H._______, il ne lui serait plus rien arrivé. Il est donc clair qu'au moment de son départ, elle n'était plus en danger, et ne se considérait plus comme exposée ; le fait que les intéressés aient encore passé une année en Algérie après les événements plaide également en ce sens, quelles qu'aient été les raisons de cette attente. Par ailleurs, il est certes peu crédible que les agresseurs aient ensuite tenté de retrouver la recourante, en interrogeant ses parents, un an et demi après les événements. Néanmoins, quand bien même cet épisode serait authentique, il établirait que les responsables croyaient l'intéressée toujours à Alger, et qu'ils n'étaient pas capables de la localiser. Dès lors, elle ne courait aucun risque en restant à H._______, et ne serait pas davantage en danger en y retournant.</w:t>
      </w:r>
    </w:p>
    <w:p>
      <w:r>
        <w:rPr>
          <w:b/>
        </w:rPr>
        <w:t>E. 3.3</w:t>
      </w:r>
    </w:p>
    <w:p>
      <w:r>
        <w:t>A cela s'ajoute que les agresseurs, même s'ils entendaient s'en prendre à la recourante en raison de son mode de vie contraire à leur conception de l'islam (ce qui indiquerait une intention persécutrice pour raisons religieuses), ne paraissent pas s'être réclamés d'un mouvement structuré et organisé ; constituant une bande de quelques individus, agissant de leur propre chef, ils n'avaient pas la capacité d'infliger une persécution au sens de la loi. Dans cette mesure, rien n'atteste que la police aurait été incapable de protéger l'intéressée, ainsi que celle-ci l'affirme. Le fait qu'elle n'ait pas tenté d'en obtenir l'assistance ne permet pas de conclure sur ce point. Toutefois, l'hypothèse soulevée d'une incapacité des autorités à protéger la recourante n'est en rien étayée.</w:t>
      </w:r>
    </w:p>
    <w:p>
      <w:r>
        <w:rPr>
          <w:b/>
        </w:rPr>
        <w:t>E. 3.4</w:t>
      </w:r>
    </w:p>
    <w:p>
      <w:r>
        <w:t>Enfin, rien n'indique que la tentative d'enlèvement ayant visé la fille des recourants, en octobre 2014, revête un quelconque caractère politique ou religieux ; cet épisode n'est donc en rien pertinent en matière d'asile.</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retient, comme déjà mentionné plus haut, que l'intéressée ne courrait aucun danger en cas de retour à H._______, ses agresseurs ne l'y ayant jamais localisée. 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l'Algérie ne connaît plus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les recourants sont jeunes, au bénéfice d'une expérience professionnelle et disposent d'un réseau familial et social dans leur pays, sur lequel ils pourront compter à leur retour, tous leurs proches résidant en Algérie. S'agissant de l'état de santé B._______,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LEtr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(ATAF 2011/50 consid. 8.3; 2009/2 consid. 9.3.2).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JICRA 2003 n° 24 consid. 5b).</w:t>
      </w:r>
    </w:p>
    <w:p>
      <w:r>
        <w:rPr>
          <w:b/>
        </w:rPr>
        <w:t>E. 7.4</w:t>
      </w:r>
    </w:p>
    <w:p>
      <w:r>
        <w:t>En l'espèce, le plus récent rapport médical, du (...) octobre 2016, indique que l'intéressée n'est pas atteinte d'épilepsie, mais que ses troubles dérivent d'un PTSD et d'un état anxio-dépressif. La médication anti-épileptique n'est donc plus nécessaire et doit être supprimée. Le traitement à appliquer consiste dès lors en un suivi psychiatrique de durée indéterminée, sans qu'il soit fait mention de médicaments spécifiques à administrer. A ce sujet, le Tribunal relève certes que la qualité des soins psychiatriques en Algérie, dans le secteur public, n'est pas optimale, le manque de personnel et de médicaments en diminuant l'efficacité , ces problèmes touchent d'ailleurs tout le secteur de la santé (cf. Haut Commissariat des Nations Unies aux droits de l'homme, rapport de visite en Algérie du 10 mai 2016, sous http://www.ohchr.org/FR/NewsEvents/Pages/DisplayNews.aspx?NewsID=19934&amp;LangID=F, consulté le 1er décembre 2016). Comme l'a relevé le SEM dans sa réponse, il existe toutefois à H._______ ou à proximité, ainsi qu'à Alger (où résident les parents de la recourante), des établissements hospitaliers disposant d'un service de psychiatrie. Le Tribunal doit également rappeler que si l'intéressée est psychologiquement perturbée, aucun rapport médical ne constate cependant que sa vie ou son intégrité psychique, faute de traitement adéquat, seraient concrètement mis en danger de manière pressante. Dans cette mesure, en application de la jurisprudence rappelée plus haut, son état n'est pas de nature à faire obstacle à un retour en Algérie, quand bien même elle n'aurait pas accès à des sons de la même qualité qu'en Suisse. Il y a également lieu de rappeler que la recourante ne sera pas isolée, mais pourra toujours bénéficier du soutien de son mari et de celui de ses proches, qui se trouvent tous en Algérie ; sa réintégration s'en trouvera ainsi facilitée.</w:t>
      </w:r>
    </w:p>
    <w:p>
      <w:r>
        <w:rPr>
          <w:b/>
        </w:rPr>
        <w:t>E. 7.5</w:t>
      </w:r>
    </w:p>
    <w:p>
      <w:r>
        <w:t>Pour ces motifs, l'exécution du renvoi doit être considérée comme raisonnablement exigible.</w:t>
      </w:r>
    </w:p>
    <w:p>
      <w:r>
        <w:rPr>
          <w:b/>
        </w:rPr>
        <w:t>E. 8</w:t>
      </w:r>
    </w:p>
    <w:p>
      <w:r>
        <w:t>Enfin, les recourants et leurs enfants sont en possession de passeports valables.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Compte tenu de l'octroi de l'assistance judiciaire totale, il n'y a pas lieu de percevoir de frais (art. 65 al. 2 PA).</w:t>
      </w:r>
    </w:p>
    <w:p>
      <w:r>
        <w:rPr>
          <w:b/>
        </w:rPr>
        <w:t>E. 10.2</w:t>
      </w:r>
    </w:p>
    <w:p>
      <w:r>
        <w:t>En application de l'art. 14 al. 2 du règlement du 21 février 2008 concernant les frais, dépens et indemnités fixés par le Tribunal administratif fédéral (FITAF, RS 173.320.2), le Tribunal fixe l'indemnité du mandataire d'office sur la base du décompte, et à défaut sur celle du dossier. En cas de représentation d'office, le tarif horaire est dans la règle de 200 à 400 francs pour les avocats, et de 100 à 300 francs pour les représentants n'exerçant pas la profession d'avocat (art. 10 al. 2 FITAF). Seuls les frais nécessaires sont indemnisés (art. 8 al. 2 FITAF).</w:t>
      </w:r>
    </w:p>
    <w:p>
      <w:r>
        <w:rPr>
          <w:b/>
        </w:rPr>
        <w:t>E. 10.3</w:t>
      </w:r>
    </w:p>
    <w:p>
      <w:r>
        <w:t>En l'espèce, la première mandataire d'office, Sabine Masson, a joint au recours une note de frais faisant état de cinq heures de travail, d'où une indemnité de 650 francs, ainsi que de 50 francs de frais (non soumis à la TVA). Elle a ultérieurement produit deux rapports médicaux, ce qui, à l'estimation du Tribunal, a nécessité une heure de travail. Le Tribunal considère comme adéquats le temps de travail facturé et l'indemnité horaire, qui se monte 130 francs. L'indemnité de la première mandataire d'office sera ainsi arrêtée à 780 francs pour six heures de travail, plus les débours par 50 francs, soit un total de 830 francs. Quant au second mandataire d'office, Mathias Deshusses, qui a repris le dossier, il a déposé un troisième rapport médical ; il sera donc indemnisé pour deux heure de travail au même tarif, soit à hauteur de 260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