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E-4015/2010 vom 29. Juni 2010</w:t>
      </w:r>
    </w:p>
    <w:p>
      <w:r>
        <w:t>Bundesverwaltungsgericht, 2010-06-29, DE</w:t>
      </w:r>
    </w:p>
    <w:p>
      <w:r>
        <w:rPr>
          <w:b/>
        </w:rPr>
        <w:t xml:space="preserve">Quelle: </w:t>
      </w:r>
      <w:r>
        <w:t>https://mcp.opencaselaw.ch/entscheid/bvger_E-4015_2010</w:t>
      </w:r>
    </w:p>
    <w:p>
      <w:r>
        <w:t>FR: TAF E-4015/2010 du 29 juin 2010</w:t>
      </w:r>
    </w:p>
    <w:p>
      <w:r>
        <w:t>IT: TAF E-4015/2010 del 29 giugno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nicht in einer Amtssprache des Bundes abgefasst. Aus prozessökonomischen Gründen wurde indessen vorlie-gend auf eine Rückweisung der englischsprachigen Beschwerde zur Übersetzung in eine Amtssprache des Bundes verzichtet, da das Rechtsbegehren verständlich und begründet ist. Der Entscheid des Bundesverwaltungsgerichts ergeht in deutscher Sprache (vgl. Art. 33a Abs. 2 VwVG i.V.m.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formgerecht eingereichte Beschwerde ist somit einzutreten (Art. 108 AsylG sowie Art. 105 AsylG i.V.m. Art. 37 VGG und Art. 48 Abs. 1 und Art. 52 VwVG).</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w:t>
      </w:r>
    </w:p>
    <w:p>
      <w:r>
        <w:rPr>
          <w:b/>
        </w:rPr>
        <w:t>E. 4.2</w:t>
      </w:r>
    </w:p>
    <w:p>
      <w:r>
        <w:t>Das BFM kann ein im Ausland gestelltes Asylgesuch ablehnen, wenn die asylsuchenden Personen keine Verfolgung glaubhaft machen können oder ihnen die Aufnahme in einem Drittstaat zugemutet werden kann. Vorbringen sind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4.3</w:t>
      </w:r>
    </w:p>
    <w:p>
      <w:r>
        <w:t>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4.4</w:t>
      </w:r>
    </w:p>
    <w:p>
      <w:r>
        <w:t>Bei diesem Entscheid gelten für die Erteilung einer Einreisebewil-ligung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 dort akzentuierte Praxis hat nach bloss redaktionellen Änderungen bei der letzten Totalrevision des Asylgesetzes nach wie vor Gültigkeit).</w:t>
      </w:r>
    </w:p>
    <w:p>
      <w:r>
        <w:rPr>
          <w:b/>
        </w:rPr>
        <w:t>E. 5.1</w:t>
      </w:r>
    </w:p>
    <w:p>
      <w:r>
        <w:t>Das BFM führte in der angefochtenen Verfügung aus, der Beschwerdeführer mache geltend, zwischen 2000 und 2008 als Übersetzer für das Kader der LTTE tätig gewesen, im (...) verhaftet, verhört sowie misshandelt und nach (...) Monaten Haft freigesprochen worden zu sein. Dazu stellte die Vorinstanz fest, der Krieg zwischen der srilankischen Regierung und der separatistischen LTTE sei im Mai 2009 mit der Niederlage der LTTE zu Ende gegangen. Damit befinde sich das Land erstmals seit 1983 wieder unter Regierungskontrolle. Die Sicherheits- und Menschenrechtslage sei zwar noch nicht befriedigend und präsentiere sich regional unterschiedlich. Insbesondere sei aber festzustellen, dass die Anzahl von Gewalter-eignissen sowie Entführungen und "Killings" erheblich zurückgegangen sei. Obschon angenommen werden müsse, dass der Beschwerde-führer während der Inhaftierung schlimmer Behandlung ausgesetzt gewesen sei, sei festzustellen, dass er nach (...) Haft ohne Auflage freigesprochen worden sei und somit nichts gegen seine Person vorgelegen habe. Deshalb sei diese Inhaftierung für die Erteilung einer Einreisebewilligung im Hinblick auf ein Asylverfahren in der Schweiz nicht mehr relevant. Seit der Freilassung lebe der Beschwerdeführer wieder in B._____, arbeite und reise regelmässig zwischen (...) und Colombo hin und her. Es sei daher davon auszugehen, dass seitens der Behörden kein Verfolgungsinteresse an seiner Person bestehe. Weiter zweifelt das Bundesamt in der angefochtenen Verfügung an der Glaubhaftigkeit der geltend gemachten Vorbringen. Anlässlich der Anhörung habe der Beschwerdeführer zu Protokoll gegeben, er sei seit August 2009 an seinem früheren Wohnort und an seinem Arbeitsplatz zehn bis fünfzehn Mal von Unbekannten gesucht worden und habe im Dezember 2009 sowie im Januar 2010 vier bis fünf telefonische Dro-hungen erhalten. Im Schreiben vom 16. November 2009 habe er in-dessen diese Besuche nicht erwähnt. Da dieses wesentliche Vorbrin-gen ohne zwingenden Grund erst im späteren Verlauf des Verfahrens erwähnt worden sei, sei dessen Wahrheitsgehalt zweifelhaft. Insoweit würden auch erhebliche Zweifel an den damit in Verbindung stehenden telefonischen Bedrohungen bestehen. Des Weitern widerspreche das Vorbringen des Beschwerdeführers, er habe im Gefängnis (...) von einem Mitinsassen ein Angebot der LTTE erhalten, ihn aus dem Gefängnis zu holen, wenn er wieder für die Organisation arbeiten würde, der allgemeinen Erfahrung. Für die LTTE wäre es nicht möglich gewesen, einen Insassen aus einem sri-lankischen Gefängnis zu holen. Zudem sei festzuhalten, dass sich dieses Vorbringen auf die erste Hälfte des Jahres 2009 beziehe, also auf die Zeit, in welcher die LTTE von den sri-lankischen Streitkräften vernichtend geschlagen wor-den sei. Dieses Vorbringen sei deshalb nicht glaubhaft.</w:t>
      </w:r>
    </w:p>
    <w:p>
      <w:r>
        <w:rPr>
          <w:b/>
        </w:rPr>
        <w:t>E. 5.2</w:t>
      </w:r>
    </w:p>
    <w:p>
      <w:r>
        <w:t>In der Rechtsmitteleingabe macht der Beschwerdeführer geltend, er sei enttäuscht vom Entscheid des BFM, da er sehr viel Geld für seine Entlassung und die Dokumentation ausgegeben habe. Er habe keine Arbeit, da kein Arbeitgeber jemanden einstellen wolle, der im Gefängnis gewesen sei. Alle würden immer noch glauben, dass er in Verbindung zur LTTE stehe. In der Zwischenzeit sei er vom (...) und von Unbekannten verfolgt worden. Er könne nicht weiter in Sri Lanka leben.</w:t>
      </w:r>
    </w:p>
    <w:p>
      <w:r>
        <w:rPr>
          <w:b/>
        </w:rPr>
        <w:t>E. 5.3</w:t>
      </w:r>
    </w:p>
    <w:p>
      <w:r>
        <w:t>Als Beweismittel reichte der Beschwerdeführer ein Schreiben der Sri Lanka Police vom (...) (...) ein. Darin wird ausdrücklich festgestellt, dass er in keine terroristischen Aktivitäten verwickelt gewesen sei. Weiter wird das zuständige Gericht angewiesen, seine Freilassung zu veranlassen. In der Folge wurde der Beschwerdeführer freigesprochen. Vor diesem Hintergrund ist davon auszugehen, dass die heimatlichen Behörden - entgegen der vom Beschwerdeführer vertretenen Ansicht - kein Interesse an einer asylrelevanten Verfolgung haben. Dieser Schluss drängt sich umso mehr auf, als er gemäss eigenen Angaben seit geraumer Zeit regelmässig zwischen B._____ (...) und Colombo hin- und herreist, wobei er die zahlreichen Checkpoints offensichtlich ohne Probleme passieren kann. Hätten die heimatlichen Behörden ein effektives Interesse am Beschwerdeführer, wäre es ihnen ein Leichtes gewesen, ihn erneut festzunehmen. Zwar ist die allgemeine Situation für die Tamilen insbesondere im Nor-den und Osten Sri Lankas nach dem offiziellen Ende des langjährigen Bürgerkriegs im Mai 2009 auch heute noch schwierig (vgl. etwa Schweizerische Flüchtlingshilfe, Asylsuchende aus Sri Lanka, Position der Schweizerischen Flüchtlingshilfe SFH, Bern, 8. Dezember 2009). Nach den Erkenntnissen des Bundesverwaltungsgerichts hat sich die allgemeine Sicherheitslage der Tamilen aber in letzter Zeit sukzessive verbessert. Sie können sich im Land freier bewegen, wichtige Verbindungswege wurden wieder dem Verkehr übergeben, und das re-striktive Passsystem für Aus- und Einreisen nach Jaffna wurde abge-schafft. Die Polizei- und Armeepräsenz wurde insbesondere im Osten erheblich reduziert. Im Grossraum Colombo sind die Sicherheitskräfte allerdings nach wie vor sehr präsent und führen Kontrollen durch. Diese sogenannten "Anti-Terrormassnahmen" werden im Raum Co-lombo - unbesehen der Rügen des Supreme Courts - weiterhin als re-pressives Instrument gegen (befürchtete) Infiltrationen tamilischer Se-paratisten angewendet. Es handelt sich dabei indessen nicht über Schikanen hinausgehende Massnahmen, denen im Grossraum Colom-bo ein grosser Teil der tamilischen Bevölkerung ausgesetzt ist; auf-grund mangelnder Intensität kommt ihnen kein Verfolgungscharakter im Sinne von Art. 3 AsylG zu. Insgesamt vermag der Beschwerde-führer somit aus den (angeblichen) vergangenen und den befürchte-ten zukünftigen Kontrollen durch die sri-lankischen Behörden nichts zu seinen Gunsten abzuleiten. Schliesslich vermag der Beschwerdeführer mit den weiteren Ausfüh-rungen in der Rechtsmitteleingabe nicht substanziiert darzutun, inwie-fern das BFM zu Unrecht geschlossen habe, er sei nicht schutzbedürftig im Sinne des Asylgesetzes und ihm sei deshalb die Einreise nicht zu bewilligen. Um Wiederholungen zu verweiden, kann vollum-fänglich auf die zutreffenden Erwägungen in der angefochtenen Verfü-gung verwiesen werden.</w:t>
      </w:r>
    </w:p>
    <w:p>
      <w:r>
        <w:rPr>
          <w:b/>
        </w:rPr>
        <w:t>E. 5.4</w:t>
      </w:r>
    </w:p>
    <w:p>
      <w:r>
        <w:t>Dem Beschwerdeführer ist es somit nicht gelungen, eine aktuelle und unmittelbare Gefährdung im Sinne von Art. 3 AsylG beziehungsweise konkrete Hinweise auf eine künftige, asylrelevante Verfolgung und eine damit einhergehende, begründete Verfolgungsfurcht darzulegen. Ein weiterer Verbleib im Heimatland ist ihm deshalb zumutbar. Das BFM hat demnach dem Beschwerdeführer zu Recht die Einreise in die Schweiz nicht bewilligt und sein Asylgesuch abgelehnt.</w:t>
      </w:r>
    </w:p>
    <w:p>
      <w:r>
        <w:rPr>
          <w:b/>
        </w:rPr>
        <w:t>E. 6</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