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E-4009/2010 vom 15. Juni 2010</w:t>
      </w:r>
    </w:p>
    <w:p>
      <w:r>
        <w:t>Bundesverwaltungsgericht, 2010-06-15, DE</w:t>
      </w:r>
    </w:p>
    <w:p>
      <w:r>
        <w:rPr>
          <w:b/>
        </w:rPr>
        <w:t xml:space="preserve">Quelle: </w:t>
      </w:r>
      <w:r>
        <w:t>https://mcp.opencaselaw.ch/entscheid/bvger_E-4009_2010</w:t>
      </w:r>
    </w:p>
    <w:p>
      <w:r>
        <w:t>FR: TAF E-4009/2010 du 15 juin 2010</w:t>
      </w:r>
    </w:p>
    <w:p>
      <w:r>
        <w:t>IT: TAF E-4009/2010 del 15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 Das Verfahren richtet sich nach dem VwVG, dem VGG und dem BGG, soweit das AsylG nichts anderes bestimmt (Art. 37 VGG und Art. 6 AsylG).</w:t>
      </w:r>
    </w:p>
    <w:p>
      <w:r>
        <w:rPr>
          <w:b/>
        </w:rPr>
        <w:t>E. 1.2</w:t>
      </w:r>
    </w:p>
    <w:p>
      <w:r>
        <w:t>Die Beschwerde ist nicht in einer Amtssprache des Bundes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AsylG sowie Art. 105 AsylG i.V.m. Art. 37 VGG und Art. 48 Abs. 1 und Art. 52 VwVG). Auf die frist- und - neben dem sprachlichen Mangel -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einem vereinfachten Verfahren entschieden; die vorliegende Beschwerde ist, wie nachfolgend aufgezeigt, offensichtlich unbegründet, weshalb auf einen Schriftenwechsel verzichtet werden kann und der Beschwerdeentscheid nur summarisch zu begründen ist (Art. 111 Abs. 1 und 3 AsylG).</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4.2.1</w:t>
      </w:r>
    </w:p>
    <w:p>
      <w:r>
        <w:t>Die Beschwerdeführenden wurden im vorliegenden Verfahren nicht befragt; die Vorinstanz hat diesen Verzicht in ihrer Zwischenverfügung vom 29. Dezember 2009 begründet, mit welcher den Beschwerdeführenden das rechtliche Gehör zu einem allfälligen negativen Entscheid gewährt wurde. Dieses nahmen sie mit Stellungnahme vom 28. Februar 2010 wahr. Der Inhalt der Stellungnahme erschöpfte sich in der Wiederholung der Vorbringen des Asylgesuchs und erforderte deshalb seitens des BFM keine weiteren Abklärungen zur Erstellung des entscheidwesentlichen Sachverhalts, zumal sie ihre Vorbringen mit ihren Eingaben beigelegter umfangreicher Dokumentation untermauerten. In diesem Sinne erfolgte das Vorgehen der Vorinstanz in korrekter Weise.</w:t>
      </w:r>
    </w:p>
    <w:p>
      <w:r>
        <w:rPr>
          <w:b/>
        </w:rPr>
        <w:t>E. 4.2.2</w:t>
      </w:r>
    </w:p>
    <w:p>
      <w:r>
        <w:t>Im Folgenden ist zu prüfen, ob das Bundesamt das Asylgesuch in materieller Hinsicht zu Recht abgewiesen und den Beschwerdeführenden die Einreise in die Schweiz verweigert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Beschwerdeführenden hätten in ihrem Gesuch keine besonders nahen Beziehungen zur Schweiz geltend gemacht. Im Weiteren hat das Bundesamt zu Recht erwogen, dass es den Beschwerdeführenden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den Beschwerdeführenden praktisch unmöglich oder objektiv unzumutbar, sich in einen anderen Staat, insbesondere einen der Nachbarstaaten Kolumbiens, zu begeben (vgl. EMARK 2004 Nr. 20 sowie 1997 Nr. 15, Erw. 2f, S. 132). Dies gilt umso mehr, als aus den Akten ersichtlich ist, dass es sich bei den Beschwerdeführenden nicht um landesweit bekannte Persönlichkeiten handelt, die aufgrund ihrer besonders exponierten Stellung auch bei einer Flucht ins nahe Ausland allenfalls befürchten müssten, weiterhin verfolgt zu werden.</w:t>
      </w:r>
    </w:p>
    <w:p>
      <w:r>
        <w:rPr>
          <w:b/>
        </w:rPr>
        <w:t>E. 6.2</w:t>
      </w:r>
    </w:p>
    <w:p>
      <w:r>
        <w:t>Bei dieser Sachlage kann letztlich offen bleiben, ob sich die Beschwerdeführenden den Bedrohungen durch die Paramilitärs allenfalls durch eine innerstaatliche Wohnsitzverlegung entziehen könnten.</w:t>
      </w:r>
    </w:p>
    <w:p>
      <w:r>
        <w:rPr>
          <w:b/>
        </w:rPr>
        <w:t>E. 6.3</w:t>
      </w:r>
    </w:p>
    <w:p>
      <w:r>
        <w:t>Nach dem Gesagten ist zusammenfassend festzuhalten, dass die Beschwerdeführenden aufgrund der Akten über keine Beziehungsnähe zur Schweiz verfügen, hingegen die Möglichkeit der anderweitigen Schutzsuche haben. Der Beschwerdeeingabe ist nichts Gegenteiliges zu entnehmen, weshalb diese als offensichtlich unbegründet erscheint. Unter diesen Umständen hat die Vorinstanz den Beschwerdeführenden zu Recht die Erteilung der Einreisebewilligung verweigert und das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