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E-4003/2015 vom 7. Juli 2015</w:t>
      </w:r>
    </w:p>
    <w:p>
      <w:r>
        <w:t>Bundesverwaltungsgericht, 2015-07-07, DE</w:t>
      </w:r>
    </w:p>
    <w:p>
      <w:r>
        <w:rPr>
          <w:b/>
        </w:rPr>
        <w:t xml:space="preserve">Quelle: </w:t>
      </w:r>
      <w:r>
        <w:t>https://mcp.opencaselaw.ch/entscheid/bvger_E-4003_2015</w:t>
      </w:r>
    </w:p>
    <w:p>
      <w:r>
        <w:t>FR: TAF E-4003/2015 du 7 juillet 2015</w:t>
      </w:r>
    </w:p>
    <w:p>
      <w:r>
        <w:t>IT: TAF E-4003/2015 del 7 luglio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zur Beschwerdeführung legitimiert (Art. 48 VwVG). Auf die frist- und formgerecht eingereichte Beschwerde ist einzutreten (Art. 52 VwVG und Art. 108 Abs. 1 AsylG).</w:t>
      </w:r>
    </w:p>
    <w:p>
      <w:r>
        <w:rPr>
          <w:b/>
        </w:rPr>
        <w:t>E. 1.2</w:t>
      </w:r>
    </w:p>
    <w:p>
      <w:r>
        <w:t>Mit Beschwerde kann die Verletzung von Bundesrecht und die unrichtige oder unvollständige Feststellung des rechtserheblichen Sachverhalts gerügt werden (Art. 106 Abs. 1 AsylG; zur Frage der Auswirkung der Streichung von Art. 106 Abs. 1 Bst. a aAsylG auf das Beschwerdeverfahren in Ausland-Asylverfahren, vgl. Urteil BVGer D-103/2014 vom 21. Januar 2015 E. 4 ff. [zur Publikation vorgesehen]).</w:t>
      </w:r>
    </w:p>
    <w:p>
      <w:r>
        <w:rPr>
          <w:b/>
        </w:rPr>
        <w:t>E. 1.3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2</w:t>
      </w:r>
    </w:p>
    <w:p>
      <w:r>
        <w:t>Dem Antrag, die Beschwerde mit den Beschwerden von Frau B._______ und Herrn C._______ zu vereinigen, ist insofern zu entsprechen, als die Beschwerden gleichzeitig und in gleicher Gerichtsbesetzung behandelt werden.</w:t>
      </w:r>
    </w:p>
    <w:p>
      <w:r>
        <w:rPr>
          <w:b/>
        </w:rPr>
        <w:t>E. 3.1</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3.2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4.1</w:t>
      </w:r>
    </w:p>
    <w:p>
      <w:r>
        <w:t>Die Vorinstanz hat in tatsächlicher Hinsicht den Massstab der Schutzbedürftigkeit nicht verkannt und auf den vorliegenden Fall korrekt angewendet. In der angefochtenen Verfügung wird einlässlich begründet, weshalb keine Anhaltspunkte zur Annahme bestehen, dass ein weiterer Verbleib in Äthiopien nicht zumutbar oder nicht möglich wäre. Nicht zuletzt in Anbetracht der Tatsache, dass der Beschwerdeführer beim UNHCR als Flüchtling registriert ist, ist er vor Verfolgung eritreischer Behörden geschützt. Das wird durch die der Beschwerde beigelegten Berichte bestätigt. Nach Aussagen von D.­­­­­­_______, verfolgt Äthiopien "eine Migrationspolitik der offenen Türen und niemand werde zurückgeschickt'" (Beschwerdebeilage S. 6). Der Beschwerdeführer setzt sich mit der vorinstanzlichen Beweiswürdigung kaum auseinander, sondern erneuert die Schilderungen zur allgemeinen Lage im Flüchtlingslager Hintsats und zur allgemeinen Lage der Flüchtlinge in Äthiopien, wobei er nicht aufzeigt, inwiefern die Vorinstanz Bundesrecht verletzt haben soll. Solches ist auch nicht ersichtlich. Die Vorinstanz hat richtig erkannt, dass sich der Beschwerdeführer jederzeit wieder beim UNHCR melden kann. Die Vorinstanz kommt ebenso folgerichtig zum Schluss, dass der Beschwerdeführer volljährig war, als er sein Asylgesuch stellte, und er zu diesem Zeitpunkt seine Eltern schon lange Zeit nicht mehr gesehen hatte. In der Gesamtbetrachtung besteht zwar eine gewisse Bindung zur Schweiz, diese überwiegt jedoch offensichtlich nicht. Sodann lebt der Beschwerdeführer in Äthiopien nicht alleine, sondern mit einem volljährigen Bruder und einer volljährigen Schwester. Um Wiederholungen zu vermeiden, kann auf die ausführlichen Ausführungen in der angefochtenen Verfügung verwiesen werden. Die auf Beschwerdeebene eingereichten Berichte vermögen an der Schlussfolgerung der Vor­instanz nichts zu ändern.</w:t>
      </w:r>
    </w:p>
    <w:p>
      <w:r>
        <w:rPr>
          <w:b/>
        </w:rPr>
        <w:t>E. 4.2</w:t>
      </w:r>
    </w:p>
    <w:p>
      <w:r>
        <w:t>Zusammenfassend ist festzustellen, dass der weitere Verbleib des Beschwerdeführers in Äthiopien zumutbar und zulässig ist, weshalb er auf den Schutz der Schweiz nicht angewiesen ist. Die Vorinstanz hat demnach zu Recht die Einreise in die Schweiz nicht bewilligt und das Asylgesuch aus dem Ausland abgelehnt.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6.2</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