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E-4000/2024 vom 3. Juli 2024</w:t>
      </w:r>
    </w:p>
    <w:p>
      <w:r>
        <w:t>Bundesverwaltungsgericht, 2024-07-03, DE</w:t>
      </w:r>
    </w:p>
    <w:p>
      <w:r>
        <w:rPr>
          <w:b/>
        </w:rPr>
        <w:t xml:space="preserve">Quelle: </w:t>
      </w:r>
      <w:r>
        <w:t>https://mcp.opencaselaw.ch/entscheid/bvger_E-4000_2024</w:t>
      </w:r>
    </w:p>
    <w:p>
      <w:r>
        <w:t>FR: TAF E-4000/2024 du 3 juillet 2024</w:t>
      </w:r>
    </w:p>
    <w:p>
      <w:r>
        <w:t>IT: TAF E-4000/2024 del 3 luglio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[SR 142.31] i.V.m. Art. 31 33 VGG; Art. 83 Bst. d Ziff. 1 BGG).</w:t>
      </w:r>
    </w:p>
    <w:p>
      <w:r>
        <w:rPr>
          <w:b/>
        </w:rPr>
        <w:t>E. 1.2</w:t>
      </w:r>
    </w:p>
    <w:p>
      <w:r>
        <w:t>Das Verfahren richtet sich nach dem VwVG, dem VGG und dem BGG, soweit das AsylG nichts anderes bestimmt (Art. 37 VGG und Art. 6 AsylG).</w:t>
      </w:r>
    </w:p>
    <w:p>
      <w:r>
        <w:rPr>
          <w:b/>
        </w:rPr>
        <w:t>E. 1.3</w:t>
      </w:r>
    </w:p>
    <w:p>
      <w:r>
        <w:t>Die Beschwerde ist zulässig (Art. 105 AsylG; Art. 31 ff. VGG). Die übrigen Sachurteilsvoraussetzungen (Legitimation [Art. 48 Abs. 1 VwVG], Frist [Art. 108 Abs. 3 AsylG] und Form [Art. 52 Abs. 1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Der Beschwerdeführer beantragt unter dem Eventualstandpunkt, die Sache sei zur Neubeurteilung an die Vorinstanz zurückzuweisen (Rechtsbegehren Ziff. 2). In der Beschwerdebegründung hat er zu diesem Antrag jedoch keine Ausführungen gemacht. Insbesondere hat er nicht geltend gemacht, die angefochtene Verfügung weise formelle Mängel auf. Da sich das Verfahren nach Prüfung der Akten, insbesondere der angefochtenen Verfügung, als spruchreif erweist, ist der Rückweisungsantrag als unbegründet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eines Wiederaufnahmeverfahrens (engl.: take back) findet grundsätzlich keine (erneute) Zuständigkeitsprüfung nach Kapitel III Dublin-III-VO statt (siehe zum Ganzen: BVGE 2017 VI/5 E. 6.2 und 8.2.1 m.w.H.).</w:t>
      </w:r>
    </w:p>
    <w:p>
      <w:r>
        <w:rPr>
          <w:b/>
        </w:rPr>
        <w:t>E. 4.3</w:t>
      </w:r>
    </w:p>
    <w:p>
      <w:r>
        <w:t>Ein Abgleich der Fingerabdrücke des Beschwerdeführers mit der Eurodac-Datenbank ergab, dass dieser am (...) April 2024 in Kroatien ein Asylgesuch eingereicht hatte (Vorakten [SEM-act.] [...]-6). Die kroatischen Behörden stimmten dem Wiederaufnahmeersuchen der Vorinstanz gestützt auf Art. 20 Abs. 5 Dublin-III-VO zu (SEM-act. [...]-17). Somit sind sowohl die Antragsstellung in Kroatien als auch der Umstand, dass das kroatische Verfahren zur Bestimmung des für das Asylgesuch des Beschwerdeführers zuständigen Mitgliedstaats gemäss Art. 20 Abs. 5 Dublin-III-VO noch nicht abgeschlossen wurde, als erstellt zu erachten mit der Folge, dass dieses nach einer Rücküberstellung des Beschwerdeführers fortgesetzt wird. Damit ist die grundsätzliche Zuständigkeit Kroatiens gegeben. Dass der Beschwerdeführer in Kroatien kein Asylgesuch zu stellen beabsichtigte, vermag daran nichts zu ändern.</w:t>
      </w:r>
    </w:p>
    <w:p>
      <w:r>
        <w:rPr>
          <w:b/>
        </w:rPr>
        <w:t>E. 4.4</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zum zuständigen Staat (Art. 3 Abs. 2 Dublin-III-VO).</w:t>
      </w:r>
    </w:p>
    <w:p>
      <w:r>
        <w:rPr>
          <w:b/>
        </w:rPr>
        <w:t>E. 4.5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5.1</w:t>
      </w:r>
    </w:p>
    <w:p>
      <w:r>
        <w:t>Der Beschwerdeführer macht geltend, das kroatische System weise Mängel auf, was durch aktuelle Berichte dokumentiert sei. Er habe in Kroatien physische Gewalt erlebt. Die kroatischen Behörden hätten ihn gegen seinen Willen nach Bosnien gebracht (Push-Back), mehrmals geschlagen und ihm sein Handy sowie sein Geld weggenommen. Es sei ihm keine Möglichkeit eingeräumt worden, mit den Beamten zu kommunizieren. Obschon er die Sprache nicht verstanden habe, sei kein Dolmetscher beigezogen worden. Dadurch sei sein Informationsrecht nach Art. 4 Dublin-III-VO verletzt worden. Unter anderem sei ihm nicht erklärt worden, welche Folgen eine Sekundärmigration in einen anderen Mitgliedstaat haben könne.</w:t>
      </w:r>
    </w:p>
    <w:p>
      <w:r>
        <w:rPr>
          <w:b/>
        </w:rPr>
        <w:t>E. 5.2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rechtsprechungsgemäss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5.3</w:t>
      </w:r>
    </w:p>
    <w:p>
      <w:r>
        <w:t>Im als Referenzurteil publizierten Entscheid E-1488/2020 vom 22. März 2023 hat sich das Bundesverwaltungsgericht einlässlich mit der Situation von Dublin-Rückkehrern in Kroatien befasst. Dabei hat es festgehalten, dass im heutigen Zeitpunkt keine Hinweise für die Annahme vorliegen, das Asylverfahren und die Aufnahmebedingungen von Antragstellenden in Kroatien wiesen systemische Schwachstellen im Sinne von Art. 3 Abs. 2 zweiter und dritter Satz Dublin-III-VO auf, die eine Überstellung generell als unzulässig erscheinen liessen. Dies gelte sowohl für das Aufnahmeverfahren (Take charge) als auch für das Wiederaufnahmeverfahren (Take back, vgl. a.a.O. E. 9.5). Selbst unter Berücksichtigung der auf Beschwerdeebene zitierten Berichte sowie der vom Beschwerdeführer geschilderten Erlebnisse während seines kurzen Aufenthalts in Kroatien ist nicht davon auszugehen, Kroatien verstosse zum heutigen Zeitpunkt systematisch gegen seine vertraglichen Verpflichtungen als zuständiger Dublin-Mitgliedstaat im Falle einer Rücküberstellung von Asylsuchenden.</w:t>
      </w:r>
    </w:p>
    <w:p>
      <w:r>
        <w:rPr>
          <w:b/>
        </w:rPr>
        <w:t>E. 5.4</w:t>
      </w:r>
    </w:p>
    <w:p>
      <w:r>
        <w:t>Nach dem Gesagten ist die Anwendung von Art. 3 Abs. 2 Dublin-III-VO nicht gerechtfertigt.</w:t>
      </w:r>
    </w:p>
    <w:p>
      <w:r>
        <w:rPr>
          <w:b/>
        </w:rPr>
        <w:t>E. 6</w:t>
      </w:r>
    </w:p>
    <w:p>
      <w:r>
        <w:t>Nachfolgend ist zu prüfen, ob die Vorinstanz das Selbsteintrittsrecht nach Art. 17 Abs. 1 erster Satz Dublin-III-VO sowie Art. 29a Abs. 3 AsylV 1 zu Recht nicht ausgeübt hat.</w:t>
      </w:r>
    </w:p>
    <w:p>
      <w:r>
        <w:rPr>
          <w:b/>
        </w:rPr>
        <w:t>E. 6.1</w:t>
      </w:r>
    </w:p>
    <w:p>
      <w:r>
        <w:t>Es gelingt dem Beschwerdeführer nicht, die Vermutung, Kroatien halte seine völkerrechtlichen Verpflichtungen auch in seinem Fall ein, zu widerlegen. Es besteht kein Grund zur Annahme, die kroatischen Behörden würden ihm nach einer Überstellung den Zugang zum Asyl- respektive zu einem Wiederaufnahmeverfahren unter Einhaltung der Regeln der Verfahrensrichtlinie verweigern. Das Bundesverwaltungsgericht erkennt zwar an, dass das Verhalten der kroatischen Grenzbehörden und die Behandlung von Asylsuchenden im Rahmen der Erstaufnahme bis zur Gesuchstellung in Kroatien problematisch sein kann. So bedauerlich die vom Beschwerdeführer geltend gemachten Erlebnisse in Kroatien auch gewesen sein mögen, lässt sich aus diesen nicht ableiten, dass er im Rahmen einer gestützt auf die Dublin-III-VO erfolgenden Rückführung nach Kroatien erneut mit Gewalt zu rechnen haben wird oder dass die dort zu erwartenden Bedingungen derart schlecht sein werden, dass sie zu einer Verletzung von Art. 4 der EU-Grundrechtcharta, Art. 3 EMRK oder Art. 3 FoK führen könnten. Das Bundesverwaltungsgericht geht davon aus, dass sich der Beschwerdeführer nach der Dublin-Rücküberstellung in einer anderen Situation als bei seiner ersten Einreise nach Kroatien befinden wird (vgl. Referenzurteil E-1488/2020 E. 9.4. sowie u.a. Urteil des BVGer D-3332/2023 vom 22. Juni 2023 E. 7.2 m.w.H.), zumal die Überstellung von Personen gestützt auf die Dublin-III-VO von der Schweiz nach Kroatien auf legalem Weg und ausnahmslos in die Hauptstadt Zagreb führt, wie die Vorinstanz in der angefochtenen Verfügung zu Recht ausgeführt hat.</w:t>
      </w:r>
    </w:p>
    <w:p>
      <w:r>
        <w:rPr>
          <w:b/>
        </w:rPr>
        <w:t>E. 6.2</w:t>
      </w:r>
    </w:p>
    <w:p>
      <w:r>
        <w:t>Bei einer allfälligen vorübergehenden Einschränkung der ihm zustehenden Aufnahmebedingungen könnte sich der Beschwerdeführer im Übrigen nötigenfalls an die kroatischen Behörden wenden und seine Rechte auf dem Rechtsweg einfordern (vgl. Art. 26 Aufnahmerichtlinie). Dies gilt auch in Bezug auf ein allfälliges Fehlverhalten der kroatischen Polizei. Des Weiteren steht ihm die Möglichkeit offen, die vor Ort tätigen karitativen Organisationen zu kontaktieren.</w:t>
      </w:r>
    </w:p>
    <w:p>
      <w:r>
        <w:rPr>
          <w:b/>
        </w:rPr>
        <w:t>E. 6.3</w:t>
      </w:r>
    </w:p>
    <w:p>
      <w:r>
        <w:t>Die vom Beschwerdeführer geltend gemachte Verletzung seines Informationsrechts durch die kroatischen Behörden bleibt unbelegt. Zudem können die Informationen gemäss Art. 4 Dublin-III-VO auch anlässlich des persönlichen Gesprächs gemäss Art. 5 Dublin-III-VO vermittelt werden. Durch seine unverzügliche Weiterreise per Autostopp nach Italien sowie anschliessend in die Schweiz, wo er nur zwei Wochen später ein Asylgesuch eingereicht hat, hat sich der Beschwerdeführer selbst einem Asylverfahren in Kroatien entzogen. Es ist nicht davon auszugehen, die kroatischen Behörden würden nach einer Überstellung des Beschwerdeführers zur Durchführung des Asylverfahrens dessen Informationsrechte verletzen. Im Übrigen hat die Vorinstanz in der angefochtenen Verfügung zu Recht darauf hingewiesen, dass Kroatien ein Rechtsstaat mit funktionierendem Justizsystem ist, womit er - auch bei einer allfälligen Verletzung seines Informationsrechts - sich mit einer Beschwerde an die zuständigen Stellen wenden könnte.</w:t>
      </w:r>
    </w:p>
    <w:p>
      <w:r>
        <w:rPr>
          <w:b/>
        </w:rPr>
        <w:t>E. 6.4</w:t>
      </w:r>
    </w:p>
    <w:p>
      <w:r>
        <w:t>Es liegen keine Gründe für die Annahme vor, Kroatien werde den Grundsatz des Non-Refoulement missachten und den Beschwerdeführer zur Ausreise in ein Land zwingen, in dem sein Leib, sein Leben oder seine Freiheit aus einem Grund nach Art. 3 Abs. 1 AsylG gefährdet ist oder in dem er Gefahr laufen würde, zur Ausreise in ein solches Land gezwungen zu werden. Entgegen der Auffassung des Beschwerdeführers ist damit nicht anzunehmen, dass ihn die kroatischen Behörden ohne Durchführung eines rechtsstaatlichen Verfahrens an die Türkei ausliefern würden.</w:t>
      </w:r>
    </w:p>
    <w:p>
      <w:r>
        <w:rPr>
          <w:b/>
        </w:rPr>
        <w:t>E. 6.5</w:t>
      </w:r>
    </w:p>
    <w:p>
      <w:r>
        <w:t>Die aktenkundigen gesundheitlichen Probleme des Beschwerdeführers ([...] vgl. SEM-act. 14, 22) sind zwar ernst zu nehmen, aber nicht derart gravierend, dass mit Blick auf Art. 3 EMRK von einer Überstellung nach Kroatien abgesehen werden müsste (vgl. dazu Urteil des EGMR Paposhvili gegen Belgien vom 13. Dezember 2016, Grosse Kammer, 41738/10, §§ 180-193 m.w.H.). In dem der angefochtenen Verfügung beigelegten Dokument «Überstellungsmodalitäten» wurde zudem bereits darauf hingewiesen, dass der Beschwerdeführer unter einer (...) sowie an (...) leide (SEM-act. 20). Sollte er nach der Rückkehr nach Kroatien eine medizinische Behandlung benötigen, ist darauf hinzuweisen, dass Kroatien über eine ausreichende medizinische Infrastruktur verfügt und verpflichtet ist, den Antragstellern die erforderliche medizinische Versorgung, die zumindest die Notversorgung und die unbedingt erforderliche Behandlung von Krankheiten und schweren psychischen Störungen umfasst, zugänglich zu machen (Art. 19 Abs. 1 Aufnahmerichtlinie; vgl. z.B. Urteil des BVGer E-1238/2024 vom 29. Februar 2024 E. 5.4). Die in der Beschwerde aufgestellte Behauptung, die Gesundheitsversorgung und psychosoziale Hilfe für Asylsuchende sei in Kroatien ungenügend, stösst damit ins Leere.</w:t>
      </w:r>
    </w:p>
    <w:p>
      <w:r>
        <w:rPr>
          <w:b/>
        </w:rPr>
        <w:t>E. 6.6</w:t>
      </w:r>
    </w:p>
    <w:p>
      <w:r>
        <w:t>Schliesslich ist die angefochtene Verfügung auch unter dem Blickwinkel der Anwendung der Kann-Bestimmung von Art. 29a Abs. 3 AsylV 1 - hinsichtlich derer das SEM über einen (durch das Bundesverwaltungsgericht lediglich eingeschränkt überprüfbaren) Ermessensspielraum verfügt - nicht zu beanstanden (vgl. BVGE 2015/9 E. 7 f. und Art. 106 Abs. 1 Bst. a und b AsylG). Hinweise auf einen Ermessensmissbrauch oder ein Über- respektive Unterschreiten des Ermessens sind nicht ersichtlich. Das Gericht enthält sich unter diesen Umständen weiterer Äusserungen zur Frage eines Selbsteintritts aus humanitären Gründen.</w:t>
      </w:r>
    </w:p>
    <w:p>
      <w:r>
        <w:rPr>
          <w:b/>
        </w:rPr>
        <w:t>E. 7</w:t>
      </w:r>
    </w:p>
    <w:p>
      <w:r>
        <w:t>Die Vorinstanz ist nach dem Gesagten zu Recht gestützt auf Art. 31a Abs. 1 Bst. b AsylG auf das Asylgesuch des Beschwerdeführers nicht eingetreten und hat die Wegweisung nach Kroatien angeordnet. Die angefochtene Verfügung ist damit zu bestätigen und die Beschwerde entsprechend abzuweisen.</w:t>
      </w:r>
    </w:p>
    <w:p>
      <w:r>
        <w:rPr>
          <w:b/>
        </w:rPr>
        <w:t>E. 8.1</w:t>
      </w:r>
    </w:p>
    <w:p>
      <w:r>
        <w:t>Mit dem Entscheid in der Hauptsache ist das Gesuch um Verzicht auf die Erhebung eines Kostenvorschusses gegenstandslos geworden. Der am 26. Juni 2024 verfügte einstweilige Vollzugsstopp fällt mit dem vorliegenden Urteil dahin.</w:t>
      </w:r>
    </w:p>
    <w:p>
      <w:r>
        <w:rPr>
          <w:b/>
        </w:rPr>
        <w:t>E. 8.2</w:t>
      </w:r>
    </w:p>
    <w:p>
      <w:r>
        <w:t>Das mit der Beschwerde gestellte Gesuch um Gewährung der unentgeltlichen Prozessführung ist abzuweisen, da die Begehren - wie sich aus den vorstehenden Erwägungen ergibt - als aussichtslos zu bezeichnen waren. Die Voraussetzungen von Art. 65 Abs. 1 VwVG sind nicht gegeben.</w:t>
      </w:r>
    </w:p>
    <w:p>
      <w:r>
        <w:rPr>
          <w:b/>
        </w:rPr>
        <w:t>E. 8.3</w:t>
      </w:r>
    </w:p>
    <w:p>
      <w:r>
        <w:t>Bei diesem Ausgang des Verfahrens sind die auf insgesamt Fr. 750.- festzusetzenden (Art. 1-3 des Reglements vom 21. Februar 2008 über die Kosten und Entschädigungen vor dem Bundesverwaltungsgericht [VGKE, SR 173.320.2]) Verfahrenskosten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