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E-4000/2015 vom 28. April 2016</w:t>
      </w:r>
    </w:p>
    <w:p>
      <w:r>
        <w:t>Bundesverwaltungsgericht, 2016-04-28, DE</w:t>
      </w:r>
    </w:p>
    <w:p>
      <w:r>
        <w:rPr>
          <w:b/>
        </w:rPr>
        <w:t xml:space="preserve">Quelle: </w:t>
      </w:r>
      <w:r>
        <w:t>https://mcp.opencaselaw.ch/entscheid/bvger_E-4000_2015</w:t>
      </w:r>
    </w:p>
    <w:p>
      <w:r>
        <w:t>FR: TAF E-4000/2015 du 28 avril 2016</w:t>
      </w:r>
    </w:p>
    <w:p>
      <w:r>
        <w:t>IT: TAF E-4000/2015 del 28 aprile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in englischer Sprache und damit nicht in einer Amtssprache des Bundes (vgl. Art. 105 AsylG i.V.m. Art. 33a VwVG und Art. 70 Abs. 1 BV) abgefasst. Auf die Ansetzung einer Frist zur Beschwerdeverbesserung ist praxisgemäss (statt vieler: Urteil des BVGer E-4901/2015 E. 1.2) zu verzichten, da der Beschwerdeeingabe genügend klare Rechtsbegehren und eine verständliche Begründung zu entnehmen sind und somit ohne weiteres darüber befunden werden kann. Gestützt auf Art. 33a Abs. 2 VwVG i.V.m. Art. 6 AsylG ergeht der vorliegende Entscheid in deutscher Sprache.</w:t>
      </w:r>
    </w:p>
    <w:p>
      <w:r>
        <w:rPr>
          <w:b/>
        </w:rPr>
        <w:t>E. 1.3</w:t>
      </w:r>
    </w:p>
    <w:p>
      <w:r>
        <w:t>Der Beschwerdeführer ist als Verfügungsadressat zur Beschwerdeführung legitimiert (Art. 48 VwVG). Auf die frist- und formgerecht eingereichte Beschwerde ist - unter Vorbehalt der E.1.5 - einzutreten (Art. 108 Abs. 1 AsylG und Art. 52 VwVG).</w:t>
      </w:r>
    </w:p>
    <w:p>
      <w:r>
        <w:rPr>
          <w:b/>
        </w:rPr>
        <w:t>E. 1.4</w:t>
      </w:r>
    </w:p>
    <w:p>
      <w:r>
        <w:t>Die Kognition des Bundesverwaltungsgerichts und die zulässigen Rügen richten sich im Asylbereich nach Art. 106 Abs. 1 AsylG (Zur Kognition im Auslandverfahren vgl. BVGE 2015/2).</w:t>
      </w:r>
    </w:p>
    <w:p>
      <w:r>
        <w:rPr>
          <w:b/>
        </w:rPr>
        <w:t>E. 1.5</w:t>
      </w:r>
    </w:p>
    <w:p>
      <w:r>
        <w:t>Der Streitgegenstand im Beschwerdeverfahren wird durch die angefochtene Verfügung begrenzt. Im Auslandverfahren beschränkt sich die Beurteilungskompetenz des Bundesverwaltungsgerichts auf die Frage, ob die Vorinstanz die Einreise - einschliesslich der vorfrageweise zu prüfenden Gefährdung - zu Recht verneint hat. Soweit der Beschwerdeführer daher sinngemäss beantragt, er sei als Flüchtling anzuerkennen und es sei ihm Asyl zu gewähren, nimmt er eine unzulässige Streitgegenstandserweiterung vor. Auf die Beschwerde ist daher insoweit nicht einzutreten.</w:t>
      </w:r>
    </w:p>
    <w:p>
      <w:r>
        <w:rPr>
          <w:b/>
        </w:rPr>
        <w:t>E. 1.6</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2.1</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 (vgl. Übergangsbestimmung zur Änderung vom 28. September 2012; AS 2012 5359).</w:t>
      </w:r>
    </w:p>
    <w:p>
      <w:r>
        <w:rPr>
          <w:b/>
        </w:rPr>
        <w:t>E. 2.2</w:t>
      </w:r>
    </w:p>
    <w:p>
      <w:r>
        <w:t>Ein Asylgesuch kann gemäss aArt. 19 Abs. 1 AsylG im Ausland bei einer Schweizerischen Vertretung gestellt werden, die es mit einem Bericht an das Bundesamt überweist (aArt. 20 Abs. 1 AsylG).</w:t>
      </w:r>
    </w:p>
    <w:p>
      <w:r>
        <w:rPr>
          <w:b/>
        </w:rPr>
        <w:t>E. 2.3</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3.1 Die Vorinstanz gelangt in der angefochtenen Verfügung zum Schluss, der Beschwerdeführer sei nicht schutzbedürftig, weshalb sein Asylgesuch abzulehnen und die Einreise in die Schweiz nicht zu bewilligen sei. Zur Begründung führt die Vorinstanz aus, es mute seltsam an, dass der Beschwerdeführer immer wieder von den sri-lankischen Behörden zur Identifizierung von früheren LTTE-Mitgliedern aufgefordert worden sei, obwohl er diesbezüglich keine Informationen dazu habe beitragen können. Insoweit sei ihm auch kein ernsthafter Nachteil erwachsen. Hinzu komme, dass er nach beiden Inhaftierungen auf gerichtliche Anordnung hin bedingungslos freigelassen worden sei. Zwar sei nicht auszuschliessen, dass er danach unter Beobachtung der heimatlichen Behörden gestanden habe; solche Massnahmen, welche im Zusammenhang mit der allgemeinen Bekämpfung des Terrorismus der LTTE durch die sri-lankischen Behörden gestanden hätten, seien indes aufgrund mangelnder Intensität nicht asylrelevant. Schliesslich genüge allein die subjektive Angst vor künftiger Bedrohung nicht, um auf begründete Furcht vor Verfolgung zu schliessen. Wären die heimatlichen Behörden tatsächlich am Beschwerdeführer interessiert gewesen, hätten sie ihn erneut inhaftiert. Die eingereichten Beweismittel würden daran nichts zu ändern vermögen. 3.2 In der Rechtsmitteleingabe wiederholt der Beschwerdeführer den aktenkundigen Sachverhalt und verweist erneut darauf, dass sein Sohn immer noch vermisst sei. Das Bundesverwaltungsgericht bedauert das Verschwinden des Sohnes des Beschwerdeführers und anerkennt, dass die allgemeine Situation für die Tamilen, insbesondere im Norden und Osten Sri Lankas, während des langjährigen Bürgerkriegs schwierig war. Indes hat sich seither die allgemeine Lage in Sri Lanka wesentlich verändert. Einer erhöhten Verfolgungsgefahr sehen sich heute Personen ausgesetzt, die einer bestimmten Risikogruppe angehören (dazu im Einzelnen BVGE 2011/24). Der Beschwerdeführer gehört offensichtlich keiner dieser Gruppen an. Weitergehend legt der Beschwerdeführer mit dem sinngemässen Wiederholen seiner Vorbringen und dem Hinweis auf seine Gesetzestreue sowie Unbescholtenheit nicht substantiiert dar, inwiefern die angefochtene Verfügung Bundesrecht verletzen oder aus einen anderen Beschwerdegrund mangelhaft sein soll. Solches ist auch nicht ersichtlich. Dem Beschwerdeführer ist somit ein weiterer Verbleib in Sri Lanka zumutbar, und er ist nicht auf den Schutz der Schweiz angewiesen. An diesem Schluss vermögen auch die auf Beschwerdeebene eingereichten Beweismittel nichts zu ändern. Die Vorinstanz hat demnach dem Beschwerdeführer zu Recht die Einreise in die Schweiz nicht bewilligt und das Asylgesuch abgelehnt.</w:t>
      </w:r>
    </w:p>
    <w:p>
      <w:r>
        <w:rPr>
          <w:b/>
        </w:rPr>
        <w:t>E. 4</w:t>
      </w:r>
    </w:p>
    <w:p>
      <w:r>
        <w:t>Aus diesen Erwägungen ergibt sich, dass die angefochtene Verfügung Bundesrecht nicht verletzt und auch sonst nicht zu beanstanden ist (Art. 106 Abs. 1 AsylG). Die Beschwerde ist abzuweisen, soweit darauf einzutreten ist.</w:t>
      </w:r>
    </w:p>
    <w:p>
      <w:r>
        <w:rPr>
          <w:b/>
        </w:rPr>
        <w:t>E. 5</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