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E-3/2024 vom 30. Januar 2024</w:t>
      </w:r>
    </w:p>
    <w:p>
      <w:r>
        <w:t>Bundesverwaltungsgericht, 2024-01-30, DE</w:t>
      </w:r>
    </w:p>
    <w:p>
      <w:r>
        <w:rPr>
          <w:b/>
        </w:rPr>
        <w:t xml:space="preserve">Quelle: </w:t>
      </w:r>
      <w:r>
        <w:t>https://mcp.opencaselaw.ch/entscheid/bvger_E-3_2024</w:t>
      </w:r>
    </w:p>
    <w:p>
      <w:r>
        <w:t>FR: TAF E-3/2024 du 30 janvier 2024</w:t>
      </w:r>
    </w:p>
    <w:p>
      <w:r>
        <w:t>IT: TAF E-3/2024 del 30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Der Beschwer- deführer ist als Verfügungsadressat zur Beschwerdeführung legitimiert (Art. 48 VwVG). Auf die frist- und formgerecht eingereichte Beschwerde ist in Bezug auf die Anfechtung des Dublin-Nichteintretensentscheides somit einzutreten (Art. 108 Abs. 3 AsylG; Art. 105 AsylG i.V.m. Art. 37 VGG und Art. 52 Abs. 1 VwVG).</w:t>
      </w:r>
    </w:p>
    <w:p>
      <w:r>
        <w:rPr>
          <w:b/>
        </w:rPr>
        <w:t>E. 1.2</w:t>
      </w:r>
    </w:p>
    <w:p>
      <w:r>
        <w:t>Aufgrund der Verfahrenstrennung wird der Entscheid der Vorinstanz über den ZEMIS-Eintrag in einem separaten Verfahren (E-433/2024) be- handelt, weshalb die Dispositivziffer 6 der angefochtenen Verfügung nicht Gegenstand des vorliegenden Beschwerdeverfahrens betreffend den Dub- lin-Nichteintretensentscheid bildet.</w:t>
      </w:r>
    </w:p>
    <w:p>
      <w:r>
        <w:rPr>
          <w:b/>
        </w:rPr>
        <w:t>E. 2.1</w:t>
      </w:r>
    </w:p>
    <w:p>
      <w:r>
        <w:t>Mit Beschwerde kann die Verletzung von Bundesrecht sowie die un- richtige oder unvollständige Feststellung des rechtserheblichen Sachver- halts gerügt werden (Art. 106 Abs. 1 AsylG).</w:t>
      </w:r>
    </w:p>
    <w:p>
      <w:r>
        <w:rPr>
          <w:b/>
        </w:rPr>
        <w:t>E. 2.2</w:t>
      </w:r>
    </w:p>
    <w:p>
      <w:r>
        <w:t>Bei Beschwerden gegen einen Dublin-Nichteintretensentscheid ist die Beurteilungskompetenz der Beschwerdeinstanz grundsätzlich auf die Frage beschränkt, ob die Vorinstanz bei vollständig und richtig festgestell- tem Sachverhalt auf das Asylgesuch zu Recht oder Unrecht nicht eingetre- ten ist (vgl. BVGE 2012/4 E. 2.2 m.w.H.). 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nach der</w:t>
      </w:r>
    </w:p>
    <w:p>
      <w:r>
        <w:t>E-3/2024 Seite 6 Dublin-III-VO. Führt diese Prüfung zur Feststellung, dass ein anderer Mit- gliedstaat für die Prüfung des Asylgesuchs zuständig ist, tritt das SEM, nachdem der betreffende Mitgliedstaat einer Überstellung oder Rücküber- stellung zugestimmt hat – oder bei fingierter Zustimmung – auf das Asyl- gesuch grundsätzlich nicht ein.</w:t>
      </w:r>
    </w:p>
    <w:p>
      <w:r>
        <w:rPr>
          <w:b/>
        </w:rPr>
        <w:t>E. 3</w:t>
      </w:r>
    </w:p>
    <w:p>
      <w:r>
        <w:t>In der angefochtenen Verfügung führt die Vorinstanz aus, die Angaben des Beschwerdeführers zu seinem Alter sowie seinen Lebensstationen seien vage und im Ergebnis nicht überzeugend ausgefallen. Auch würden die Erkenntnisse des in Auftrag gegebenen Altersgutachtens den Altersanga- ben des Beschwerdeführers widersprechen. Bei den von ihm eingereichten Unterlagen handle es sich sodann nicht um rechtsgenügliche Dokumente. Obwohl diese Dokumente im Mai 2023 ausgestellt und nach der Befragung bei der Vorinstanz nachgereicht worden seien, habe der Beschwerdeführer anlässlich der EB UMA vom 21. August 2023 zu Protokoll gegeben, er wisse nicht, wie er Unterlagen beschaffen könne. Es sei deshalb unklar, wie er letztendlich in den Besitz dieser Dokumente gelangt sei. Weiter führt die Vorinstanz aus, der Beschwerdeführer werde als mögliches Opfer von Menschenhandel auch in Italien Betreuung und Schutz erhalten. Das italienische Asylsystem weise keine systemischen Mängel auf, welche einer Überstellung entgegenstehen würden. Italien sei im Asylbereich fer- ner an eine Vielzahl von unions- sowie völkerrechtliche Vorgaben gebun- den, welche namentlich auch die medizinische Versorgung der Schutzsu- chenden gewährleisteten. Ein Selbsteintritt durch die Schweizer Behörden dränge sich nicht auf.</w:t>
      </w:r>
    </w:p>
    <w:p>
      <w:r>
        <w:rPr>
          <w:b/>
        </w:rPr>
        <w:t>E. 4</w:t>
      </w:r>
    </w:p>
    <w:p>
      <w:r>
        <w:t>In der Rechtsmitteleingabe wird geltend gemacht, der Beschwerdeführer habe kohärente Angaben zu seinem Alter gemacht und entsprechende Un- terlagen zu den Akten gereicht. Vor diesem Hintergrund habe das Ergebnis der erstellten Altersanalyse nur untergeordnete Aussagekraft und das von ihm geltend gemachte Alter sei genügend dargelegt. Des Weiteren habe die Vorinstanz das Aufnahmegesuch bei den italienischen Behörden noch vor Ausfertigung des Altersgutachtens gestellt. Sodann habe sie die An- frage insofern zu früh gestellt, als der Beschwerdeführer später noch Un- terlagen zu seinem Alter eingereicht habe, von welchen die italienischen Behörden hätten Kenntnis nehmen können müssen. Das SEM habe in die- ser Hinsicht das Recht auf einen fairen Prozess verletzt, namentlich das Recht auf Gewährung des rechtlichen Gehörs. Auch habe das SEM das</w:t>
      </w:r>
    </w:p>
    <w:p>
      <w:r>
        <w:t>E-3/2024 Seite 7 Beschleunigungsgebot verletzt, indem es die im Gesetz vorgesehenen Verfahrensfristen (Art. 37 AsylG) überschritten habe.</w:t>
      </w:r>
    </w:p>
    <w:p>
      <w:r>
        <w:rPr>
          <w:b/>
        </w:rPr>
        <w:t>E. 5.1</w:t>
      </w:r>
    </w:p>
    <w:p>
      <w:r>
        <w:t>Einleitend ist festzuhalten, dass unbestritten ist, dass die italienischen Behörden innerhalb der einschlägigen Frist (Art. 22 Abs. 1 Dublin-III-VO) das Aufnahmegesuch nicht beantwortet haben und damit grundsätzlich für die Prüfung des Asylgesuchs zuständig geworden sind (Art. 22 Abs. 7 Dub- lin-III-VO).</w:t>
      </w:r>
    </w:p>
    <w:p>
      <w:r>
        <w:rPr>
          <w:b/>
        </w:rPr>
        <w:t>E. 5.2</w:t>
      </w:r>
    </w:p>
    <w:p>
      <w:r>
        <w:t>Der Beschwerdeführer rügt eine Verletzung seiner Verfahrensrechte, weil die Vorinstanz die Anfrage bei den italienischen Behörden auf Über- nahme vor Erstellung des Altersgutachtens getätigt und diesen nicht die von ihm zu den Akten gereichten Unterlagen zugestellt habe. Einerseits ist diesbezüglich festzuhalten, dass dem SEM nicht vorgehalten werden kann, dass der Beschwerdeführer erst nach Anfrage bei den italienischen Behör- den Dokumente zu den Akten gereicht hat. Andererseits kann auch dahin gestellt bleiben, ob die Vorinstanz verpflichtet gewesen wäre, die vom Be- schwerdeführer eingereichten Unterlagen nachträglich den italienischen Behörden zuzustellen; dies deshalb, weil diese angesichts der ungenutz- ten Antwortfrist offensichtlich überhaupt keine entsprechende Würdigung vorgenommen zu haben scheinen – im Übrigen auch nicht in Bezug auf das ihnen durch die Vorinstanz nachgereichte Altersgutachten. Eine Fest- stellung der Verletzung der Verfahrensrechte – falls eine solche überhaupt vorliegen sollte – würde nichts daran ändern, dass sich die Zuständigkeit der italienischen Behörden in casu bereits daraus ergibt, dass diese nicht innerhalb der vorgesehenen Frist auf das Übernahmeersuchen reagiert ha- ben (Art. 22 Abs. 7 Dublin-III-VO). Insofern ist nachfolgend nur zu prüfen, ob der Beschwerdeführer allenfalls aufgrund seines Alters nicht nach Ita- lien überstellt werden kann (vgl. Art. 8 Abs. 4 Dublin-III-VO).</w:t>
      </w:r>
    </w:p>
    <w:p>
      <w:r>
        <w:rPr>
          <w:b/>
        </w:rPr>
        <w:t>E. 5.3</w:t>
      </w:r>
    </w:p>
    <w:p>
      <w:r>
        <w:t>Ausgeführte).</w:t>
      </w:r>
    </w:p>
    <w:p>
      <w:r>
        <w:t>E-3/2024 Seite 10</w:t>
      </w:r>
    </w:p>
    <w:p>
      <w:r>
        <w:rPr>
          <w:b/>
        </w:rPr>
        <w:t>E. 5.4</w:t>
      </w:r>
    </w:p>
    <w:p>
      <w:r>
        <w:t>Vorliegend ist das Alter des Beschwerdeführers beziehungsweise die Frage umstritten, ob es sich bei ihm um eine minderjährige oder volljährige Person handelt. Praxisgemäss wird bei unbegleiteten, minderjährigen Asyl- suchenden von einer Überstellung in einen anderen Dublin-Staat grund- sätzlich abgesehen (vgl. Art. 8 Abs. 4 Dublin-III-VO). In Bezug auf das Altersgutachten ist festzuhalten, dass gemäss Rechts- praxis die Untersuchung der Schlüsselbeine bei der Einschätzung der Voll- beziehungsweise der Minderjährigkeit das gewichtigste Indiz darstellt. Im Falle von fehlenden Angaben zu den Alterspannen (vgl. dazu BVGE 2018 VI/3 E. 4.2.2) wird zudem berücksichtigt, ob die Untersuchung der Zähne zum Ergebnis der Schlüsselbeinuntersuchung in Widerspruch steht (vgl. aus jüngerer Zeit: Urteile des BVGer D-6239/2023 vom 6. Dezember 2023 E. 7.4.3 sowie D-6160/2023 vom 20. November 2023 E. 8.3.2). Gemäss der einschlägigen Literatur ergeben sich ferner keine Anhaltspunkte für gravierende interethnische Differenzen im zeitlichen Verlauf der Skelettrei- fung, so dass die Ergebnisse der massgebenden Referenzstudien auch auf andere ethnische Gruppen übertragbar sind (vgl. statt vieler: Urteil des BVGer E-5259/2023 vom 17. Oktober 2023 E. 7.5 m.w.H.). In Bezug auf den Beschwerdeführer kommt die Untersuchung der Schlüs- selbeine zum Ergebnis, dass dieser volljährig ist. Die Zahnuntersuchung ergibt dagegen ein Mindestalter von (…) Jahren. In Ermangelung einer ge- nügenden Vergleichsgrundlage der Altersspannen und dem Vorliegen un- terschiedlicher Untersuchungsergebnisse kann dem Gutachten demnach nur eine verminderte Aussagekraft attestiert werden. Es ist jedoch zu be- achten, dass die Zahnuntersuchung nur wenige Monate unter der Volljäh- rigkeit liegt und das aussagekräftigste Beurteilungskriterium, die Schlüs- selbeinuntersuchung, von einem Mindestalter von (…) Jahren ausgeht, weshalb dem Gutachten nicht jegliche Aussagekraft abzusprechen</w:t>
      </w:r>
    </w:p>
    <w:p>
      <w:r>
        <w:t>E-3/2024 Seite 9 beziehungsweise im Rahmen der vorzunehmenden Gesamtwürdigung mit den dargelegten Vorbehalten zu berücksichtigen ist. Es ist weiter zu beachten, dass der Beschwerdeführer in Italien als volljäh- rige Person und überdies mit einem anderen Nachnamen registriert ist. Im Zusammenhang mit den eingereichten Unterlagen (insbesondere die Ori- ginale des Nachweises der Staatsbürgerschaft sowie des Zivilstands- und Strafregisterauszuges), welche seine Geburtsangaben bestätigen sollen, fällt auf, dass – wie bereits durch die Vorinstanz festgestellt – der Be- schwerdeführer trotz entsprechender Frage diese anlässlich der Befragung nicht erwähnt hat, obwohl deren Ausstellung – im Mai 2023 – noch vor dem Zeitpunkt der Asylgesuchstellung in der Schweiz datiert. Vielmehr erklärte er im Zeitpunkt der Befragung, er wisse nicht, wie er Unterlagen beschaffen könne (vgl. SEM-Akten A22/8 Ziff. 4.07). Zu den entsprechenden Vorbe- halten der Vorinstanz macht der rechtlich vertretene Beschwerdeführer in der Rechtsmitteleingabe keine Ausführungen. Damit kann er die begrün- deten Zweifel der Vorinstanz an der Authentizität der Dokumente bezie- hungsweise der darin enthaltenen Angaben nicht restlos und überzeugend beseitigen, zumal es aufgrund der Beschaffenheit der Dokumente auch durchaus möglich scheint, diese mit relativ überschaubarem Aufwand zu reproduzieren. Angesichts der vorstehenden Ausführungen gelangt das Gericht zum Schluss, dass es dem Beschwerdeführer im Ergebnis nicht gelingt, seine geltend gemachte Minderjährigkeit glaubhaft darzulegen (zur Beweislast vgl. BVGE 2018 VI/3 E. 3 und 4.2.3 m.w.H.).</w:t>
      </w:r>
    </w:p>
    <w:p>
      <w:r>
        <w:rPr>
          <w:b/>
        </w:rPr>
        <w:t>E. 5.5</w:t>
      </w:r>
    </w:p>
    <w:p>
      <w:r>
        <w:t>Nachdem aufgrund des Vorstehenden das Alter des Beschwerdefüh- rers einer Überstellung in den zuständigen Dublin-Staat nicht entgegen- steht, ist weiter festzuhalten, dass die Vorinstanz bereits zutreffend festge- stellt hat, dass das italienische Asylsystem keine systemischen Mängel aufweise, und richtigerweise auf Italiens völker- sowie unionsrechtliche Verpflichtungen gegenüber Schutzsuchenden verwiesen hat. Sodann hat die Vorinstanz ebenfalls zutreffend festgestellt, die geltend gemachten und nicht weiter belegten gesundheitlichen Probleme des Beschwerdeführers ([…]) könnten auch in Italien behandelt werden. Den diesbezüglichen Aus- führungen wird in der Beschwerdeeingabe nichts Substantielles entgegen- gesetzt und es kann auf die Ausführungen in der angefochtenen Verfügung verwiesen werden (zum beantragten Selbsteintritt vgl. das bereits unter E.</w:t>
      </w:r>
    </w:p>
    <w:p>
      <w:r>
        <w:rPr>
          <w:b/>
        </w:rPr>
        <w:t>E. 6</w:t>
      </w:r>
    </w:p>
    <w:p>
      <w:r>
        <w:t>Angesichts des in den vorstehenden Erwägungen Ausgeführten ist festzu- stellen, dass die Vorinstanz zu Recht gestützt auf Art. 31a Abs. 1 Bst. b AsylG auf das Asylgesuch nicht eingetreten und die Wegweisung sowie den Vollzug angeordnet hat. Die Beschwerde ist abzuweisen. Damit ist der Antrag auf Erteilung der aufschiebenden Wirkung der Be- schwerde gegenstandslos geworden.</w:t>
      </w:r>
    </w:p>
    <w:p>
      <w:r>
        <w:rPr>
          <w:b/>
        </w:rPr>
        <w:t>E. 7.1</w:t>
      </w:r>
    </w:p>
    <w:p>
      <w:r>
        <w:t>Bei diesem Ausgang des Verfahrens wären die Kosten dem Beschwer- deführer aufzuerlegen (Art. 63 Abs. 1 VwVG). Das mit Eingabe vom 28. Dezember 2023 gestellte Gesuch um Gewährung der unentgeltlichen Rechtspflege ist vorliegend gutzuheissen, da die in der Rechtsmittelein- gabe gestellten materiellen Anträge nicht von vornherein als aussichtlos zu qualifizieren waren und aufgrund der Akten von der Bedürftigkeit des Be- schwerdeführers ausgegangen werden kann. Der mandatierte Rechtsver- treter ist als amtlicher Rechtsbeistand einzusetzen. Das Gesuch um Ver- zicht auf Erhebung eines Kostenvorschusses wird somit nachträglich ge- genstandslos.</w:t>
      </w:r>
    </w:p>
    <w:p>
      <w:r>
        <w:rPr>
          <w:b/>
        </w:rPr>
        <w:t>E. 7.2</w:t>
      </w:r>
    </w:p>
    <w:p>
      <w:r>
        <w:t>Die Vertretungskosten lassen sich aufgrund der Akten zuverlässig ab- schätzen (Art. 14 Abs. 2 des Reglements vom 21. Februar 2008 über die Kosten und Entschädigungen vor dem Bundesverwaltungsgericht [VGKE, SR 173.320.2]). Gestützt auf die in Betracht zu ziehenden Bemessungs- faktoren (Art. 9–13 VGKE) ist ein amtliches Honorar in der Höhe von Fr. 800.– (inkl. Auslagen) auszurichten.</w:t>
      </w:r>
    </w:p>
    <w:p>
      <w:r>
        <w:t>(Dispositiv nächste Seite)</w:t>
      </w:r>
    </w:p>
    <w:p>
      <w:r>
        <w:t>E-3/2024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