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E-399/2014 vom 29. Januar 2014</w:t>
      </w:r>
    </w:p>
    <w:p>
      <w:r>
        <w:t>Bundesverwaltungsgericht, 2014-01-29, DE</w:t>
      </w:r>
    </w:p>
    <w:p>
      <w:r>
        <w:rPr>
          <w:b/>
        </w:rPr>
        <w:t xml:space="preserve">Quelle: </w:t>
      </w:r>
      <w:r>
        <w:t>https://mcp.opencaselaw.ch/entscheid/bvger_E-399_2014</w:t>
      </w:r>
    </w:p>
    <w:p>
      <w:r>
        <w:t>FR: TAF E-399/2014 du 29 janvier 2014</w:t>
      </w:r>
    </w:p>
    <w:p>
      <w:r>
        <w:t>IT: TAF E-399/2014 del 29 gennaio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wird auf ein Asylgesuch in der Regel nicht eingetreten, wenn Asylsuchende in einen Drittstaat ausreisen können, welcher für die Durchführung des Asyl- und Wegweisungsverfahrens staatsvertraglich zuständig ist.</w:t>
      </w:r>
    </w:p>
    <w:p>
      <w:r>
        <w:rPr>
          <w:b/>
        </w:rPr>
        <w:t>E. 3.2</w:t>
      </w:r>
    </w:p>
    <w:p>
      <w:r>
        <w:t>Die Vorinstanz stellt in der angefochtenen Verfügung fest, die maltesischen Behörden hätten dem Übernahmeersuchen zugestimmt. Weiter führte sie aus, weder die in Malta herrschende Situation noch andere Gründe würden gegen die Zumutbarkeit der Wegweisung sprechen.</w:t>
      </w:r>
    </w:p>
    <w:p>
      <w:r>
        <w:rPr>
          <w:b/>
        </w:rPr>
        <w:t>E. 4.1</w:t>
      </w:r>
    </w:p>
    <w:p>
      <w:r>
        <w:t>Malta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w:t>
      </w:r>
    </w:p>
    <w:p>
      <w:r>
        <w:rPr>
          <w:b/>
        </w:rPr>
        <w:t>E. 4.2</w:t>
      </w:r>
    </w:p>
    <w:p>
      <w:r>
        <w:t>Das Bundesverwaltungsgericht hat sich im Urteil BVGE 2012/27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4.3</w:t>
      </w:r>
    </w:p>
    <w:p>
      <w:r>
        <w:t>In der Rechtsmitteleingabe nimmt der Beschwerdeführer für sich in Anspruch, einer Kategorie besonders verletzlicher Personen anzugehören. Im beigebrachten Bericht stellt der Arzt beim Beschwerdeführer einen Zustand der Hilflosigkeit fest. Die Art des in Malta am 13. September 2012 erfolgten Selbsttötungsversuches zeige, dass er tatsächlich den Wunsch gehabt habe zu sterben. Er leide an einer starken posttraumatischen Belastungsstörung mit depressiver Reaktion. Zur Gruppe verletzlicher Personen mit besonders ausgeprägten Betreuungsbedürfnissen zählt das Bundesverwaltungsgericht namentlich Personen mit körperlichen Behinderungen oder ernsthaften gesundheitlichen Problemen; ebenso Familien mit Kindern, unbegleitete Minderjährige oder Schwangere (BVGE 2012/27 E. 7.3.1). Da der Beschwerdeführer mutmasslich einer Kategorie mit spezifischer Verletzlichkeit angehört, hat die Vorinstanz in seinem Fall eine besondere Begründungspflicht. Dieser Pflicht vermögen die allgemeinen Ausführungen der Vorinstanz nicht zu genügen. Gemäss der Rechtsprechung des Bundesverwaltungsgerichts wird sie insbesondere näher begründen müssen, weshalb der Beschwerdeführer trotz seiner gesundheitlichen Probleme nach Malta überstellt werden kann, ohne dass er deswegen Gefahr läuft, wegen der dortigen Unterbringungs- und Aufenthaltsbedingungen in seinen Grundrechten verletzt zu werden. Die Begründung der angefochtenen Verfügung setzt sich mit der Situation des Beschwerdeführers nicht in genügender Weise auseinander, womit die aus Art. 29 VwVG fliessende Begründungspflicht verletzt ist.</w:t>
      </w:r>
    </w:p>
    <w:p>
      <w:r>
        <w:rPr>
          <w:b/>
        </w:rPr>
        <w:t>E. 4.4</w:t>
      </w:r>
    </w:p>
    <w:p>
      <w:r>
        <w:t>Die Beschwerde ist somit gutzuheissen, die Verfügung vom 10. Januar 2014 aufzuheben und die Sache zur neuen Entscheidung im Sinne der Erwägungen an die Vorinstanz zurückzuweisen.</w:t>
      </w:r>
    </w:p>
    <w:p>
      <w:r>
        <w:rPr>
          <w:b/>
        </w:rPr>
        <w:t>E. 5</w:t>
      </w:r>
    </w:p>
    <w:p>
      <w:r>
        <w:t>Bei diesem Ausgang des Verfahrens sind keine Kosten zu erheben (Art. 63 Abs. 1 und 2 VwVG). 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Die Rechtsvertreterin hat eine Kostennote über Fr. 1'040.- eingereicht (Art. 14 Abs. 1 VGKE). Der ausgewiesene Aufwand ist angemessen. Die Vorinstanz ist nach Art. 64 Abs. 2 VwVG anzuweisen, dem Beschwerdeführer diesen Betrag als Parteientschädigung zu entrichten. Mit dem vorliegenden Urteil sind die prozessualen Anträge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