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E-3993/2006 vom 25. Mai 2011</w:t>
      </w:r>
    </w:p>
    <w:p>
      <w:r>
        <w:t>Bundesverwaltungsgericht, 2011-05-25, DE</w:t>
      </w:r>
    </w:p>
    <w:p>
      <w:r>
        <w:rPr>
          <w:b/>
        </w:rPr>
        <w:t xml:space="preserve">Quelle: </w:t>
      </w:r>
      <w:r>
        <w:t>https://mcp.opencaselaw.ch/entscheid/bvger_E-3993_2006</w:t>
      </w:r>
    </w:p>
    <w:p>
      <w:r>
        <w:t>FR: TAF E-3993/2006 du 25 mai 2011</w:t>
      </w:r>
    </w:p>
    <w:p>
      <w:r>
        <w:t>IT: TAF E-3993/2006 del 25 maggio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Gebiet des Ausländerrechts betreffend die Frage der vorläufigen Aufnahme endgültig (Art. 83 Bst. c Ziff. 3 des Bundesgerichtsgesetzes vom 17. Juni 2005 [BGG, SR 173.110]).</w:t>
      </w:r>
    </w:p>
    <w:p>
      <w:r>
        <w:rPr>
          <w:b/>
        </w:rPr>
        <w:t>E. 1.2</w:t>
      </w:r>
    </w:p>
    <w:p>
      <w:r>
        <w:t>Das Bundesverwaltungsgericht hat am 1. Januar 2007 die Beurtei­lung der bei der ARK am 31. Dezember 2006 hängigen Rechtsmittelverfah­ren übernommen. Das neue Verfahrensrecht ist anwend­bar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Die am 1. Januar 2008 in Kraft getretene übergangsrechtliche Bestim­mung von Art. 126a Abs. 4 AuG sieht vor, dass für Personen, die im Zeitpunkt des Inkrafttretens der Änderung des AsylG vom 16. Dezem­ber 2005 sowie des AuG vorläufig aufgenommen sind, das neue Recht gilt. Diese spezielle Regel geht der allgemeinen Regel von Art. 126 Abs. 1 AuG (vgl. dazu BVGE 2008/1) vor.</w:t>
      </w:r>
    </w:p>
    <w:p>
      <w:r>
        <w:rPr>
          <w:b/>
        </w:rPr>
        <w:t>E. 3.2</w:t>
      </w:r>
    </w:p>
    <w:p>
      <w:r>
        <w:t>Der Beschwerdeführer wurde unter altem Recht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 mit­hin nach Art. 84 Abs. 1 - 3 AuG - vorliegen.</w:t>
      </w:r>
    </w:p>
    <w:p>
      <w:r>
        <w:rPr>
          <w:b/>
        </w:rPr>
        <w:t>E. 4.1</w:t>
      </w:r>
    </w:p>
    <w:p>
      <w:r>
        <w:t>Gemäss Art. 84 Abs. 2 AuG wird die vorläufige Aufnahme aufgeho­ben und der Vollzug angeordnet, wenn die Voraussetzungen der vorläufi­gen Aufnahme nicht mehr gegeben sind, d.h. wenn der Vollzug (wieder) zu­lässig, zumutbar und möglich ist. Zulässigkeit, Zumutbarkeit und Möglichkeit sind alternativer Natur. Die nachfolgenden Erwägungen konzentrieren sich auf die Frage der Zumutbarkeit. Im Folgenden ist zu untersuchen, ob die verfügte vorläufige Aufnahme infolge weiterhin bestehender Unzumut­barkeit des Wegweisungsvollzugs zu bestätigen oder aufzuheben ist.</w:t>
      </w:r>
    </w:p>
    <w:p>
      <w:r>
        <w:rPr>
          <w:b/>
        </w:rPr>
        <w:t>E. 4.2.1</w:t>
      </w:r>
    </w:p>
    <w:p>
      <w:r>
        <w:t>Der Vollzug für Ausländerinnen und Ausländer kann gemäss Art. 83 Abs. 4 AuG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4.2.2</w:t>
      </w:r>
    </w:p>
    <w:p>
      <w:r>
        <w:t>In ihrer vorliegend zu berücksichtigenden Rechtsprechung hatte sich die ARK in EMARK 2003 Nr. 10 und Nr. 30 eingehend zur La­ge in Af­gha­nistan ge­äussert und die Unterschiede zwischen der Stadt Ka­bul und an­deren Re­gionen Afghanistans dargestellt. Die ARK erklärte dabei im Jahre 2003 - aufgrund der vergleichsweise günstigeren Situation - in ei­nem ersten Schritt den Wegweisungsvollzug nach Kabul unter bestimm­ten strengen Voraussetzungen, insbesondere einem tragfähigen Bezie­hungsnetz, der Möglichkeit der Sicherung des Existenz­minimums und ei­ner gesicherten Wohnsituation, als zumutbar. Im Jahre 2006 bestätigte sie ihre Rechtsprechung und erklärte zusätzlich zu Kabul den Wegweisungs­vollzug in weitere, abschliessend aufgeführte Pro­vinzen un­ter den in EMARK 2003 Nr. 10 definierten strengen Bedingun­gen als zumut­bar (vgl. EMARK 2006 Nr. 9). Das Bundesverwal­tungsgericht hat sich dieser Lageeinschätzung an­ge­schlossen. Seit dem Jahre 2006 hat sich die Lage in Afghanistan jedoch insgesamt verschlechtert. Jene Ge­biete, in die 2006 die Rückfüh­rung als unzumutbar betrachtet wurde, sind heute fraglos immer noch so zu qualifizieren. Das Bundesverwaltungsge­richt sieht denn auch in Berück­sichtigung der jüngsten Entwicklung in Afgha­nistan (vgl. hierzu etwa die Urteile des Bundesverwaltungsgerichts D-1689/2009 vom 7. Sep­tember 2010, D 8645/2007 vom 7. Juni 2010 und E- 1745/2009 vom 9. Februar 2011) keine Veranlassung, von die­ser Lageeinschätzung ab­zuweichen. Im Übrigen hat sich die humanitäre und wirtschaftliche Lage in Kabul seit 2006 jeden­falls nicht verbessert; in­wiefern von einer Verschlechterung der Situa­tion ausgegangen werden müsste, kann vorliegend angesichts der nachstehenden Erwägung (E. 4.2.3.) offen bleiben. Des Weiteren wurde in EMARK 2006 Nr. 9 ausgeführt, es dürften nur junge, unverheira­tete Personen oder kinderlose Paare ohne gravierende ge­sundheitliche Probleme zurückgeschickt werden (vgl. EMARK 2006 Nr. 9 E. 7.8 S. 102).</w:t>
      </w:r>
    </w:p>
    <w:p>
      <w:r>
        <w:rPr>
          <w:b/>
        </w:rPr>
        <w:t>E. 4.2.3</w:t>
      </w:r>
    </w:p>
    <w:p>
      <w:r>
        <w:t>Das BFM begründete die Zumutbarkeit des Wegweisungsvollzuges nach Kabul damit, dass dort gemäss den Angaben des Beschwerdefüh­rers seine Mutter und seine (...) Geschwister leben würden. Somit ver­füge er in einer nicht unsicheren Region über ein verwandtschaftliches Be­ziehungsnetz und Wohnraum, so dass es ihm bei einer Rückkehr gelin­gen könne, eine neue Lebensgrundlage aufzubauen. Die be­rufliche Aus­bildung sowie Erfahrung, die er sowohl in Afghanistan als auch in der Schweiz habe sammeln können, seien zusätzliche Faktoren, die nicht von Vornherein ausschliessen lassen würden, dem Beschwerdeführer werde es gelingen, sich im Heimatland eine Existenz aufzubauen. Folglich lägen keine Gründe vor, die gegen die Zumutbarkeit des Wegweisungsvollzu­ges sprechen würden. Das Bundesverwaltungsgericht schliesst sich nach einer eingehenden Prü­fung der Akten der Einschätzung der Vorinstanz nicht an­. Die Begrün­dung des BFM hat nicht aufgezeigt, inwiefern der Beschwerde­führer über ein nachweisbares tragfähiges Bezie­hungsnetz in Kabul, welches die Siche­rung des Existenz­minimums und der Wohnsituation gewährleistet, verfügt. Die Frage 9 auf dem Formular [kantonale Behörde] vom 27. Mai 2005 lautet: "Haben Sie nahe Familienangehörige (Ehe­partner/in, Kinder, Eltern, Brüder, Schwes­tern, Andere) in der Schweiz, in Ihrem Heimatland oder sonst in einem Dritt­staat? Falls ja, sind uns die Personalien (Name, Vorname, Geburtsda­tum, Staatsangehörig­keit, Wohnadresse) dieser Personen schrift­lich und vollstän­dig mitzuteilen" (vgl. B3/3). Gemäss seiner in deutscher Sprache und ohne Hilfe eines Rechtsvertreters verfassten Stellungnahme vom 17. Juni 2005 an [kantonale Behörde] führte der Beschwerdeführer aus, seine Mutter und die (...) Geschwister würden in Kabul, C._______, leben (vgl. B5). Während des vo­rinstanzlichen Verfahrens gab der Beschwerdeführer zwar stets Kabul als Wohnort seiner Familienangehörigen an, jedoch unter Angabe unter­schiedlicher Quartiere (vgl. A10/15 S. 2, A1/8 S. 1, 2, B5). In der Stellung­nahme vom 22. August 2005 wurde erläutert, das Familienhaus habe sich ursprünglich in B._______ befunden. Das Haus im Quartier C._______ ge­höre [einem Geschwisterteil] des Beschwerdeführers; die ganze Familie habe sich eine be­stimmte Zeit dort aufgehalten (vgl. B9/1). Dem Anhörungsprotokoll vom 6. März 2001 ist ferner zu entnehmen, dass die Familie des Beschwerdefüh­rers vorübergehend in Pakistan gelebt habe (vgl. A10/15 S.2). In Anbetracht der zahlreichen Angaben betreffend den Wohnort der Fami­lienangehörigen des Beschwerdeführers liegen keine konkret verwertba­ren Hinweise vor, die es ermöglichen würden, darauf schliessen zu lassen, wo sich die Familien­mitglieder aktuell befinden würden. Angesichts der damaligen Ver­hältnisse und des Umstandes, dass der Beschwerdeführer sich seit nun­mehr über zwölf Jahren in der Schweiz befindet, erscheint es aller­dings auch nicht erstaunlich, dass er über all die Jahre den Kontakt mit den verbliebenen Angehörigen nicht habe aufrecht erhalten können und auch seine ehemalige Kontaktperson - eigenen Angaben zufolge - das Land habe verlassen müssen. Selbst die Schweizer Botschaft in Islama­bad habe die Familienangehörigen des Beschwerdeführers aufgrund der vorliegenden Informationen nicht ausfin­dig machen können (vgl. Antwortschreiben vom 27. September 2005, B17/1). Im Übrigen erscheint die Erklärung, er habe die Frage 9 auf dem Formular [kantonale Behörde] vom 27. Mai 2005 dahingehend verstanden, dass die Fragestellung auf den ihm zuletzt bekannten Wohnsitz seiner Familienangehörigen abziele, zumindest - auch angesichts seiner moderaten Deutschkenntnisse - nicht unplausibel. In Würdigung der gesamten Aspekte sprechen mithin überwiegende Umstände nicht gegen die vom Beschwerdeführer vorgebrachte Darstellung. Das Bestehen eines tragfähigen Beziehungsnetzes und einer geregelten Wohn­situation kön­nen bei dieser Akten­lage somit nicht als gesi­chert gelten. In Bezug auf die Sicherung des Existenzmini­mums und die herrschende wirtschaftliche Situation in Afghanis­tan führte die Vorinstanz aus, der Be­schwerdeführer habe eine Berufsausbildung (...) und in Kabul [ein Geschäft] besessen. Sodann falle in diesem Zusammenhang auch die in der Schweiz erworbene Erfahrung (...) ins Ge­wicht. [Ausführungen zu Erwerbstätigkeit]. Ein berufliches Fortkommen (...) erscheint (..) mithin frag­lich. Der vorinstanzlichen Einschätzung, der Beschwerdeführer werde sich voraussichtlich als Selbständigerwerbender [mit dem Geschäft] erneut in Kabul zu etablieren wissen, ist - trotz allfälliger Rückkehr­hilfe - mit Vorbehalt zu begegnen, (...). Fer­ner ist die vom BFM genannte, in der Schweiz ausgeführte Tätigkeit (...) nicht als Berufserfahrun­g zu werten, die geeignet wäre, dem Beschwerdeführer im Heimatland die Sicherung des Existenzmini­mums zu er­möglichen. Im Übrigen geht auch die Vorinstanz in ihrer angefochtenen Ver­fügung nicht ohne Weiteres davon aus, dass es ihm gelingen wird, sich eine Lebensgrundlage in Kabul aufzubauen, sondern hält hierzu nur fest, dies sei zumindest nicht auszu­schliessen. Nach dem Gesagten kann nicht ausgeschlossen wer­den, der Beschwerdeführer gerate im Falle der Rückkehr in eine existenzbe­drohende Situation. Von einer zumutbaren Aufenthaltsalternative in einem ande­ren Lan­desteil Afghanistans ist ebenfalls nicht auszugehen, nachdem den Ak­ten keiner­lei Hinweise auf einen längeren Aufenthalt des Beschwerde­füh­rers oder auf ein tragfähiges familiäres Beziehungsnetz in einer der bisher als si­cher bezeichneten Provinzen Afghanistans zu entnehmen sind. Die Ausführungen in der Beschwerdeeingabe vom 5. Dezember 2005 zur allfälligen schwerwie­genden persönlichen Notlage des Beschwerdefüh­rers wären im Rahmen einer erneuten Prüfung der Erteilung einer Aufent­haltsbewilligung durch den Kanton zu berücksichtigen und müssen man­gels Zuständigkeit des Bundesverwaltungsgerichts vorliegend unberücksich­tigt bleiben (vgl. Art. 84 Abs. 5 AuG). Dem Beschwerdefüh­rer ist es unbenommen, bei der zu­ständigen kantonalen Behörde erneut ein entsprechendes Gesuch um Erteilung der B-Bewilligung anhängig zu machen. Zusammenfassend ist festzuhalten, dass nicht davon ausgegangen wer­den kann, der Beschwerdeführer verfüge in Kabul über ein tragfähiges Be­ziehungsnetz, welches ihm die Sicherung des Existenzminimums und der Wohnsituation gewähr­leisten könnte. Unter diesen Umständen hat die Vorinstanz somit zu Un­recht den Vollzug der Wegweisung des Beschwer­deführers nach Kabul als zumutbar qualifiziert und die mit Verfügung vom 20. Juli 2001 angeordnete vorläufige Aufnahme des Beschwerdeführers zu Unrecht auf­gehoben.</w:t>
      </w:r>
    </w:p>
    <w:p>
      <w:r>
        <w:rPr>
          <w:b/>
        </w:rPr>
        <w:t>E. 5</w:t>
      </w:r>
    </w:p>
    <w:p>
      <w:r>
        <w:t>Der Vollzug der Wegwei­sung ist im vorliegenden Fall wegen Unzumutbar­keit weiterhin als undurchführbar zu be­trachten. Die Voraussetzungen für die Ge­währung der vorläufigen Aufnahme sind demnach weiterhin erfüllt und eine Aufhebung der vorläufigen Aufnahme gestützt auf Art. 84 Abs. 2 AuG kommt nicht in Frage. Einer vorläufi­gen Aufnahme stehen im Übri­gen auch keine einschränkenden ge­setzlichen Tatbestände (Art. 83 Abs. 7 AuG) ent­gegen. Die Beschwerde ist nach dem Gesagten gutzuheissen, und die Vorin­stanz ist anzuweisen, den Beschwerdeführer weiterhin vorläufig aufzuneh­men.</w:t>
      </w:r>
    </w:p>
    <w:p>
      <w:r>
        <w:rPr>
          <w:b/>
        </w:rPr>
        <w:t>E. 6.1</w:t>
      </w:r>
    </w:p>
    <w:p>
      <w:r>
        <w:t>Bei diesem Ausgang des Verfahrens sind keine Verfahrenskosten auf­zuerle­gen (Art. 63 Abs. 1 und 2 VwVG). Dem vertretenen Beschwerdeführer ist angesichts des Obsiegens in Anwen­dung von Art. 64 Abs. 1 VwVG eine Parteient­schädigung für die ihm erwachsenen notwendigen Kosten zuzusprechen (vgl. Art. 7 ff. des Regle­ments vom 21. Februar 2008 über die Kosten und Entschädigungen vor dem Bundesverwaltungsgericht [VGKE, SR 173.320.2]).</w:t>
      </w:r>
    </w:p>
    <w:p>
      <w:r>
        <w:rPr>
          <w:b/>
        </w:rPr>
        <w:t>E. 6.2</w:t>
      </w:r>
    </w:p>
    <w:p>
      <w:r>
        <w:t>Der Rechtsvertreter reichte mit Telefaxeingabe vom 17. Mai 2011 seine Kostennote ein, gemäss welcher er einen Aufwand von insgesamt 11 Stunden zum Stundenansatz von Fr. 190.- sowie Ba­rauslagen in Höhe von Fr. 39.- geltend machte. Der in Rechnung ge­stellte Aufwand ist insofern zu kürzen, als darin auch Kosten ausgewiesen werden, welche im vorinstanzlichen Verfahren, in der Zeit vor Ergehen der angefochtenen Verfügung am 2. November 2005, angefallen sind und welche vorliegend nicht zu vergüten sind; der zu vergütende zeitliche Aufwand ist daher um 5.25 Stunden, die ausgewiesenen Kosten sind um Fr. 14.- zu kürzen. Im Übrigen erscheint der in Rechnung gestellt Aufwand angemessen. Die vom Bundesamt auszurichtende Parteientschädigung ist demnach auf Fr. 1'202.50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