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E-3990/2021 vom 27. September 2021</w:t>
      </w:r>
    </w:p>
    <w:p>
      <w:r>
        <w:t>Bundesverwaltungsgericht, 2021-09-27, FR</w:t>
      </w:r>
    </w:p>
    <w:p>
      <w:r>
        <w:rPr>
          <w:b/>
        </w:rPr>
        <w:t xml:space="preserve">Quelle: </w:t>
      </w:r>
      <w:r>
        <w:t>https://mcp.opencaselaw.ch/entscheid/bvger_E-3990_2021</w:t>
      </w:r>
    </w:p>
    <w:p>
      <w:r>
        <w:t>FR: TAF E-3990/2021 du 27 septembre 2021</w:t>
      </w:r>
    </w:p>
    <w:p>
      <w:r>
        <w:t>IT: TAF E-3990/2021 del 27 settembre 2021</w:t>
      </w:r>
    </w:p>
    <w:p>
      <w:pPr>
        <w:pStyle w:val="Heading2"/>
      </w:pPr>
      <w:r>
        <w:t>Regeste</w:t>
      </w:r>
    </w:p>
    <w:p>
      <w:r>
        <w:t>Asile (non-entrée en matière / Etat tiers sûr 31a I a,c,d,e) et renvoi</w:t>
      </w:r>
    </w:p>
    <w:p>
      <w:pPr>
        <w:pStyle w:val="Heading2"/>
      </w:pPr>
      <w:r>
        <w:t>Erwägungen</w:t>
      </w:r>
    </w:p>
    <w:p>
      <w:r>
        <w:rPr>
          <w:b/>
        </w:rPr>
        <w:t>E. 5</w:t>
      </w:r>
    </w:p>
    <w:p>
      <w:r>
        <w:t>Partant, il y a lieu d'annuler la décision entreprise pour violation du droit fédéral (cf. art. 106 al. 1 let. a LAsi) et établissement incomplet de l'état de fait pertinent (cf. art. 106 al. 1 let. b LAsi) et de renvoyer la cause au SEM pour complément d'instruction, visant en particulier à l'obtention d'un accord ferme de réadmission des autorités italiennes, et nouvelle décision (cf. arrêt du Tribunal E-2322/2021 précité).</w:t>
      </w:r>
    </w:p>
    <w:p>
      <w:r>
        <w:rPr>
          <w:b/>
        </w:rPr>
        <w:t>E. 6.1</w:t>
      </w:r>
    </w:p>
    <w:p>
      <w:r>
        <w:t>Dans la mesure où il est statué immédiatement sur le recours et vu l'issue de la cause, les demandes de dispense de l'avance des frais de procédure et d'assistance judiciaire totale sont sans objet.</w:t>
      </w:r>
    </w:p>
    <w:p>
      <w:r>
        <w:rPr>
          <w:b/>
        </w:rPr>
        <w:t>E. 6.2</w:t>
      </w:r>
    </w:p>
    <w:p>
      <w:r>
        <w:t>Il n'est pas perçu de frais (cf. art. 63 al. 1 PA).</w:t>
      </w:r>
    </w:p>
    <w:p>
      <w:r>
        <w:rPr>
          <w:b/>
        </w:rPr>
        <w:t>E. 6.3</w:t>
      </w:r>
    </w:p>
    <w:p>
      <w:r>
        <w:t>Par ailleurs, la recourante qui obtient gain de cause en ce sens que la décision entreprise est annulée, a droit à des dépens (cf. art. 64 PA).</w:t>
      </w:r>
    </w:p>
    <w:p>
      <w:r>
        <w:rPr>
          <w:b/>
        </w:rPr>
        <w:t>E. 7</w:t>
      </w:r>
    </w:p>
    <w:p>
      <w:r>
        <w:t>Ceux-ci sont fixés sur la base du décompte de prestations annexé au recours (cf. art. 14 al. 2 du règlement du 21 février 2008 concernant les frais, dépens et indemnités fixés par le Tribunal administratif fédéral [FITAF, RS 173.320.2]). Le temps consacré à la rédaction du recours doit être réduit à six heures, le nombre d'heures porté en compte apparaissant excéder le temps indispensable dans le cas concret, compte tenu aussi du fait que la mandataire représentait déjà la recourante pour les prises de position en première instance ; en outre, le montant porté en compte à titre de « frais administratifs » doit lui aussi être réduit car lesdits débours ne sont pas suffisamment démontrés, au regard de l'art. 11 al. 1 FITAF. Les dépens sont ainsi arrêtés à 1'400 francs, tous frais et taxes éventuelles compris. Ils couvrent l'indemnité qui aurait pu être due à la mandataire au titre de son mandat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