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E-398/2010 vom 30. Juni 2010</w:t>
      </w:r>
    </w:p>
    <w:p>
      <w:r>
        <w:t>Bundesverwaltungsgericht, 2010-06-30, FR</w:t>
      </w:r>
    </w:p>
    <w:p>
      <w:r>
        <w:rPr>
          <w:b/>
        </w:rPr>
        <w:t xml:space="preserve">Quelle: </w:t>
      </w:r>
      <w:r>
        <w:t>https://mcp.opencaselaw.ch/entscheid/bvger_E-398_2010</w:t>
      </w:r>
    </w:p>
    <w:p>
      <w:r>
        <w:t>FR: TAF E-398/2010 du 30 juin 2010</w:t>
      </w:r>
    </w:p>
    <w:p>
      <w:r>
        <w:t>IT: TAF E-398/2010 del 30 giugno 2010</w:t>
      </w:r>
    </w:p>
    <w:p>
      <w:pPr>
        <w:pStyle w:val="Heading2"/>
      </w:pPr>
      <w:r>
        <w:t>Regeste</w:t>
      </w:r>
    </w:p>
    <w:p>
      <w:r>
        <w:t>Asile (non-entrée en matière)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JICRA 1996 n° 5 cons. 3 p. 39 ; JICRA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semble n'avoir rien entrepris dans les 48 heures dès le dépôt de sa demande d'asile pour s'en procurer. Les actes d'état civil qu'il a déposés ne constituent pas des documents de voyage ou des pièces d'identité au sens vu plus haut ; il en va de même du permis de conduire, d'ailleurs produits après expiration du délai de 48 heures (cf. consid. 2.2 ci-dessus). Enfin, l'intéressé n'a pas produit de document d'identité adéquat en original, comme il s'y était engagé dans sa réplique ; une telle pièce aurait d'ailleurs, en tout état de cause, été produite tardivement (cf. JICRA 1999 n° 16 consid. 5 p. 108ss). Le recourant n'a pas non plus présenté de motif excusable susceptible de justifier sa carence, au sens de l'art. 32 al. 3 let. a LAsi, et les explications données à ce sujet ne sont pas convaincantes. L'intéressé a admis qu'il était titulaire d'un passeport et d'une carte d'identité et les conservait chez lui ; on voit donc mal pourquoi il ne les aurait pas emportés, ce d'autant plus que le départ des époux (...) pour la Suisse n'aurait pas eu lieu de manière précipitée. De même, il n'est guère crédible que le recourant n'ait pas été en mesure d'atteindre un seul des membres de sa famille durant les mois ayant suivi son arrivée en Suisse, ceux-ci étant prétendument occupés en permanence hors de leur domicile ; le fait que son épouse ait fourni la même explication au sujet de ses proches laisse d'ailleurs présumer que cette justification a été concertée entre les intéressés, appréciation que tend à confirmer la production simultanée, sans explication, de copies de leurs cartes d'identité. Dès lors, le recourant n'a pas fait valoir d'excuses motivant qu'il n'ait pas déposé de pièces d'identité ou de documents de voyage au sens de l'art. 1 let. b et c OA1.</w:t>
      </w:r>
    </w:p>
    <w:p>
      <w:r>
        <w:rPr>
          <w:b/>
        </w:rPr>
        <w:t>E. 3.2</w:t>
      </w:r>
    </w:p>
    <w:p>
      <w:r>
        <w:t>Par ailleurs, dans le cas d'espèce, le Tribunal considère qu'il n'existe pas d'indices de la qualité de réfugié au sens de l'art. 32 al. 3 let. b LAsi (cf. ATAF 2007/8 consid. 5.6.5-5.7 p. 90ss). Il ne ressort pas non plus du dossier qu'il y ait ici des obstacles à l'exécution du renvoi qui nécessiteraient des mesures d'instruction complémentaires au sens de l'art. 32 al. 3 let. c LAsi, étant entendu que selon la jurisprudence (cf. ATAf 2009/50 consid. 5-8 p. 725-733), de tels obstacles s'entendent uniquement de ceux qui rendraient cette exécution illicite. En effet, les problèmes rencontrés par le recourant ne sont pas d'une gravité suffisant à les faire qualifier de persécutions, ni à rendre l'exécution du renvoi illicite : il aurait été en butte à l'antipathie occasionnelle de la population et de la police locale, et aurait été une fois agressé, ce qui ne représente cependant pas un préjudice justifiant d'admettre l'existence de la qualité de réfugié. Il est exact que les membres de la minorité rom peuvent être victimes en Serbie de brimades et de tracasseries de la part de tiers ou parfois d'autorités locales, la police pouvant aussi leur refuser sa protection ; ils connaissent des difficultés d'accès à l'emploi, à la scolarisation, au logement, à l'aide sociale et aux soins médicaux. On ne saurait considérer pour autant qu'ils sont systématiquement l'objet d'actes de violence ou de graves discriminations entraînant une pression psychique insupportable au sens de la loi sur l'asile. Par ailleurs, l'attitude des autorités judiciaires ou policières serbes est en voie d'évolution ; elles ne refusent en règle générale pas de poursuivre les auteurs d'exactions commises à l'encontre de membres de minorités ethniques, ni ne tolèrent ou ne cautionnent de tels agissements (cf. UK Home Office, Operational guidance note du 1er septembre 2008, ch. 3.6.1 à 3.6.12 ; cf. aussi Minority Rights Group International, Pushing for Change ? South East Europe's Minorities in the EU Progress Reports, Londres juillet 2008). On ne peut donc suivre le recourant, lorsqu'il prétend qu'aucune plainte par lui déposée n'aurait pu lui permettre d'obtenir protection. La Serbie a d'ailleurs été désignée par le Conseil fédéral comme Etat exempt de persécutions, au sens de l'art. 6a al. 2 let. a LAsi, avec effet au 1er avril 2009.</w:t>
      </w:r>
    </w:p>
    <w:p>
      <w:r>
        <w:rPr>
          <w:b/>
        </w:rPr>
        <w:t>E. 3.3</w:t>
      </w:r>
    </w:p>
    <w:p>
      <w:r>
        <w:t>Il découle donc de ce qui précède que des mesures d'investigation complémentaires ne sont pas nécessaires, au sens de l'art. 32 al. 3 let. c LAsi. L'autorité de première instance était donc fondée à ne pas entrer en matière sur la demande d'asile.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vu l'absence de violence généralisée dans le pays d'origine du recourant. A cela s'ajoute que l'intéressé est jeune, en bonne santé, sans charges de famille, et dispose sur place d'un réseau familial suffisant (ses parents et un frère). Dès lors, l'exécution du renvoi est raisonnablement exigible.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Vu l'issue de la procédure, il y a lieu de mettre les frais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