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E-3982/2020 vom 21. September 2020</w:t>
      </w:r>
    </w:p>
    <w:p>
      <w:r>
        <w:t>Bundesverwaltungsgericht, 2020-09-21, DE</w:t>
      </w:r>
    </w:p>
    <w:p>
      <w:r>
        <w:rPr>
          <w:b/>
        </w:rPr>
        <w:t xml:space="preserve">Quelle: </w:t>
      </w:r>
      <w:r>
        <w:t>https://mcp.opencaselaw.ch/entscheid/bvger_E-3982_2020</w:t>
      </w:r>
    </w:p>
    <w:p>
      <w:r>
        <w:t>FR: TAF E-3982/2020 du 21 septembre 2020</w:t>
      </w:r>
    </w:p>
    <w:p>
      <w:r>
        <w:t>IT: TAF E-3982/2020 del 21 settembre 2020</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Beschwerdeführerin ist als Verfügungsadressatin zur Beschwerdeführung legitimiert (Art. 48 VwVG). Auf die frist- und formgerecht eingereichte Beschwerde (Art. 108 Abs. 6 AsylG und Art. 52 Abs. 1 VwVG)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Die Beschwerdeführerin macht geltend, die Vorinstanz habe den Sachverhalt unrichtig und unvollständig festgestellt und den Untersuchungsgrundsatz verletzt, indem sie keine sorgfältige Abwägung aller Elemente, welche für oder gegen die Aberkennung der Flüchtlingseigenschaft sprächen, vorgenommen habe. Diese formelle Rüge ist vorab zu prüfen.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Die Rüge erweist sich nach Durchsicht der Akten als nicht berechtigt. Die Vorinstanz hat der Beschwerdeführerin das rechtliche Gehör zur beabsichtigten Aberkennung der Flüchtlingseigenschaft und zum beabsichtigten Asylwiderruf gewährt. Zudem hat sie der Beschwerdeführerin mit Schreiben vom 28. Mai 2020 erneut die Möglichkeit gegeben, sich ergänzend zum Sachverhalt zu äussern. Im Beschwerdeverfahren werden zudem keine Sachverhaltsaspekte neu vorgetragen, die nicht im erstinstanzlichen Verfahren zur Sprache gekommen wären. Eine unrichtige oder unvollständige Sachverhaltsfeststellung durch die Vorinstanz lässt sich ebenso wenig feststellen wie ein fehlende Abwägung aller relevanten Sachverhalts- aspekte. Ob die Einschätzung der Vorinstanz vom Bundesverwaltungsgericht geteilt wird, ist eine materielle Frage der rechtlichen Würdigung der Sache, welche im Folgenden zu prüfen sein wird. Formelle Mängel ergeben sich aus den Akten keine.</w:t>
      </w:r>
    </w:p>
    <w:p>
      <w:r>
        <w:rPr>
          <w:b/>
        </w:rPr>
        <w:t>E. 5.1</w:t>
      </w:r>
    </w:p>
    <w:p>
      <w:r>
        <w:t>Gemäss Art. 63 Abs. 1 Bst. b AsylG wird die Flüchtlingseigenschaft aberkannt und das Asyl widerrufen, wenn Gründe nach Art. 1 Bst. C Ziff. 1-6 FK vorliegen.</w:t>
      </w:r>
    </w:p>
    <w:p>
      <w:r>
        <w:rPr>
          <w:b/>
        </w:rPr>
        <w:t>E. 5.1.1</w:t>
      </w:r>
    </w:p>
    <w:p>
      <w:r>
        <w:t>Die in der FK normierten sogenannten «Beendigungsklauseln» definieren die Umstände, nach denen ein Flüchtling aufhört, ein Flüchtling zu sein. Die Klauseln beruhen auf der Überlegung, dass internationaler Schutz nicht mehr gewährt werden soll, wo er nicht mehr erforderlich oder nicht mehr gerechtfertigt ist. Während die Ziffern 1 bis 4 von Art. 1 Bst. C FK dabei an das Verhalten des Flüchtlings anknüpfen, beziehen sich die Ziffern 5 und 6 auf eine Veränderung der Umstände im Heimat- oder Herkunftsland.</w:t>
      </w:r>
    </w:p>
    <w:p>
      <w:r>
        <w:rPr>
          <w:b/>
        </w:rPr>
        <w:t>E. 5.1.2</w:t>
      </w:r>
    </w:p>
    <w:p>
      <w:r>
        <w:t>Gemäss Art. 1 Bst. C Ziff. 1 FK fällt eine Person dann nicht mehr unter den Geltungsbereich der Flüchtlingskonvention, wenn sie sich freiwillig wieder unter den Schutz des Landes gestellt hat, dessen Staatsangehörigkeit sie besitzt.</w:t>
      </w:r>
    </w:p>
    <w:p>
      <w:r>
        <w:rPr>
          <w:b/>
        </w:rPr>
        <w:t>E. 5.1.3</w:t>
      </w:r>
    </w:p>
    <w:p>
      <w:r>
        <w:t>Die Aberkennung der Flüchtlingseigenschaft und der Widerruf des Asyls gestützt auf Art. 63 Abs. 1 Bst. b AsylG i.V.m. Art. 1 Bst. C Ziff. 1 FK sind gemäss Lehre und Rechtsprechung (BVGE 2010/17 E. 5.2 ff.) dann anzuordnen, wenn die folgenden drei Voraussetzungen kumulativ erfüllt sind: Die Handlung der die Flüchtlingseigenschaft innehabenden Person muss freiwillig erfolgt sein. Bei der Beurteilung, ob diese Voraussetzung gegeben ist, kommt es auch auf die Motive für die Heimatreise an. Einfache Urlaubs- und Vergnügungsreisen lassen eher auf die Inkaufnahme einer Unterschutzstellung schliessen als Reisen aus Gründen, die ohne gleich die Freiwilligkeit auszuschliessen, immerhin ein gewisses Mass an psychischem Druck zur Heimatreise ausüben. Die als Flüchtling anerkannte Person muss in der Absicht gehandelt haben, sich dem Schutz des Heimatstaates zu unterstellen. Die Schutzgewährung durch den Heimatstaat muss tatsächlich erfolgt sein. Das Kriterium der effektiven Schutzgewährung ist erfüllt, wenn objektive Anhaltspunkte dafür bestehen, dass die als Flüchtling anerkannte Person in ihrem Heimatstaat tatsächlich nicht mehr gefährdet ist.</w:t>
      </w:r>
    </w:p>
    <w:p>
      <w:r>
        <w:rPr>
          <w:b/>
        </w:rPr>
        <w:t>E. 5.1.4</w:t>
      </w:r>
    </w:p>
    <w:p>
      <w:r>
        <w:t>Heimatreisen von Flüchtlingen sind restriktiv zu beurteilen. Grundsätzlich stellt der Umstand, dass sich ein anerkannter Flüchtling zurück in den Verfolgerstaat begibt, ein starkes Indiz dafür dar, dass die frühere Verfolgungssituation oder die Furcht vor Verfolgung nicht mehr besteht. Trotzdem stellt nicht jeder Kontakt mit den Heimatbehörden und damit auch nicht jede Heimatreise einen Aberkennungsgrund dar.</w:t>
      </w:r>
    </w:p>
    <w:p>
      <w:r>
        <w:rPr>
          <w:b/>
        </w:rPr>
        <w:t>E. 5.2</w:t>
      </w:r>
    </w:p>
    <w:p>
      <w:r>
        <w:t>Gemäss dem seit 1. Juni 2019 in Kraft getretenen Art. 63 Abs. 1bis AsylG (verabschiedet mit Gesetzesrevision vom 14. Oktober 2018 zur Änderung des Ausländer- und Integrationsgesetzes [AIG] vom 14. Dezember 2018, Verfahrensregelungen und Informationssysteme, AS 2019 1413 ff.; BBl 2018 1685 ff.) aberkennt das SEM die Flüchtlingseigenschaft, wenn Flüchtlinge in ihren Heimat- oder Herkunftsstaat reisen. Die Aberkennung unterbleibt, wenn die ausländische Person glaubhaft macht, dass die Reise in den Heimat- oder Herkunftsstaat aufgrund eines Zwanges erfolgte. Diese Regelungen betreffen sowohl anerkannte Flüchtlinge mit Asyl sowie Flüchtlinge mit einer vorläufigen Aufnahme (vgl. Urteil des BVGer E-5675/2019 vom 16. Januar 2020 E. 4.2).</w:t>
      </w:r>
    </w:p>
    <w:p>
      <w:r>
        <w:rPr>
          <w:b/>
        </w:rPr>
        <w:t>E. 5.2.1</w:t>
      </w:r>
    </w:p>
    <w:p>
      <w:r>
        <w:t>Die Vorinstanz legt diese neue Bestimmung dahingehend aus, dass der Gesetzgeber mit der Einführung von Art. 63 Abs. 1bis AsylG bewusst darauf verzichtet habe, die Aberkennung der Flüchtlingseigenschaft bei Heimatreisen von den Kriterien der beabsichtigten Unterschutzstellung sowie der effektiven Schutzgewährung abhängig zu machen. Stehe nach aktueller Gesetzeslage fest, dass eine als Flüchtling anerkannte Person in ihren Heimatstaat gereist sei, werde von der Aberkennung der Flüchtlingseigenschaft einzig dann noch abgesehen, wenn diese die Reise aufgrund eines Zwanges unternommen habe. Der Nachweis eines solches Zwanges sei im Sinne einer Umkehr der Beweislast von der heimreisenden Person und nicht von der verfügenden Behörde zu erbringen (vgl. Handbuch Asyl und Rückkehr Artikel E6 «Die Beendigung des Asyls und die Aberkennung der Flüchtlingseigenschaft» Ziff. 2.1.2.1).</w:t>
      </w:r>
    </w:p>
    <w:p>
      <w:r>
        <w:rPr>
          <w:b/>
        </w:rPr>
        <w:t>E. 5.2.2</w:t>
      </w:r>
    </w:p>
    <w:p>
      <w:r>
        <w:t>Eine weitergehende Auseinandersetzung mit der gesetzgeberischen Intention zur neu eingeführten Norm kann vorliegend unterbleiben. Ebenso muss der Frage nicht nachgegangen werden, in welchem Verhältnis Art. 63 Abs. 1bis zum nach wie vor Gültigkeit entfaltenden Art. 63 Abs. 1 Bst. b AsylG i.V.m. Art. 1 Bst. C Ziff. 1 FK steht. Eine Aberkennung der Flüchtlingseigenschaft und ein Widerruf des Asyls rechtfertigt sich vorliegend auch mit Blick auf die weniger restriktive Norm von Art. 63 Abs. 1 AsylG.</w:t>
      </w:r>
    </w:p>
    <w:p>
      <w:r>
        <w:rPr>
          <w:b/>
        </w:rPr>
        <w:t>E. 6.1</w:t>
      </w:r>
    </w:p>
    <w:p>
      <w:r>
        <w:t>Die Beschwerdeführerin bestreitet nicht, sich während vier Wochen in ihrem Heimatstaat aufgehalten zu haben. Aufgrund der Ein- und Ausreisestempel in ihrem Reisepass und der durch die Beschwerdeführerin eingereichten Unterlagen (Visumsbestätigung und Flugunterlagen) ist die Aktenlage diesbezüglich unbestritten. Die Beschwerdeführerin stand somit nachweislich in Kontakt mit den heimatlichen Behörden. Ihr Einwand, sie habe nur einmal anlässlich der Beantragung eines Visums Kontakt mit den Behörden gehabt, ist unbehelflich. Einerseits kann davon ausgegangen werden, dass ihre Personalien bei der Ausstellung des Visums überprüft wurden, andererseits stand sie zumindest bei der offiziellen Ein- und Ausreise noch zwei weitere Male in Kontakt mit den Behörden. Sie hat durch ihr Verhalten eine Unterschutzstellung zumindest in Kauf genommen.</w:t>
      </w:r>
    </w:p>
    <w:p>
      <w:r>
        <w:rPr>
          <w:b/>
        </w:rPr>
        <w:t>E. 6.2</w:t>
      </w:r>
    </w:p>
    <w:p>
      <w:r>
        <w:t>Es bestehen sodann auch objektive Anhaltspunkte dafür, dass sie in ihrem Heimatstaat nicht mehr gefährdet ist. Sie hat sich während einem relativ langen Zeitraum von vier Wochen in Äthiopien aufgehalten und keine Benachteiligungen erlitten. Sie bringt diesbezüglich zwar vor, sie habe sich vorsichtig verhalten und öffentliche Plätze und Einrichtungen vermieden. Vor dem Hintergrund, dass sie mit echten Reisepapieren und einem Visum nach Äthiopien reiste, ist indes nicht davon auszugehen, dass ihr Aufenthalt in Addis Abeba heimlich erfolgt und unentdeckt geblieben ist. Sie konnte nach ihrem Aufenthalt auch wieder ungehindert und legal ausreisen, weshalb angenommen werden kann, dass sie effektiv geschützt war.</w:t>
      </w:r>
    </w:p>
    <w:p>
      <w:r>
        <w:rPr>
          <w:b/>
        </w:rPr>
        <w:t>E. 6.3</w:t>
      </w:r>
    </w:p>
    <w:p>
      <w:r>
        <w:t>Die Beschwerdeführerin begründet ihre Heimatreise im Wesentlichen damit, dass sie aufgrund einer moralischen Pflicht gehandelt und sich in einer Zwangslage befunden habe. Aufgrund der schweren Erkrankung ihrer Schwester habe sie keine andere Möglichkeit gesehen, als in ihren Heimatstaat zu reisen, um ihre Schwester allenfalls ein letztes Mal zu sehen. Vorliegend ist somit zu prüfen, ob sich die Beschwerdeführerin aufgrund ihrer vorgebrachten moralischen Pflicht, ihre Schwester zu besuchen, tatsächlich in einer Zwangslage befunden hat. Zunächst ist festzustellen, dass aus dem (nur schwer leserlichen) eingereichten äthiopischen Arztbericht keine lebensbedrohliche Erkrankung der Schwester der Beschwerdeführerin hervorgeht und auch keine über Wochen andauernde Hospitalisierung der Schwester bestätigt wird. Das Bundesverwaltungsgericht hat sodann in vergleichbaren Fällen - namentlich in Fällen, in denen Personen aufgrund (schwerer) Erkrankungen von nahen Familienangehörigen eine Heimatreise unternommen haben - keine Zwangslage anerkannt (vgl. hierzu die Urteile des Bundesverwaltungsgerichts E-5282/2019 vom 19. Dezember 2019 E.5.3. [Bruder an Krebs erkrankt], D-1913/2020 vom 30. Juni 2020 E.5.2 [Besuch einer schwer kranken Tante]; Urteil E-5675/2019 vom 16. Januar 2020 E.5.3 [Besuch aufgrund einer Erkrankung des Vaters]; D-1335/2019 vom 2. April 2019 E.6.5 und E.6.6 [Besuch aufgrund einer Diabeteserkrankung der Mutter]). Demgegenüber anerkannte das Gericht im Urteil E-3872/2017 vom 18. Dezember 2019, dass eine moralische Verpflichtung einer Heimatreise aufgrund des kurz vor dem Tod stehenden Vaters und der (späteren) Teilnahme an der Beerdigung bestand (a.a.O., E.6.4). Der jüngeren Rechtsprechung des Gerichts folgend, schliesst im vorliegenden Fall der Besuch der Schwester aufgrund der (...) Erkrankung weder die Freiwilligkeit der Unterschutzstellung im Sinne von Art. 63 Abs. 1 AsylG aus, noch stellt dies einen "Zwang" im Sinne von Art. 63 Abs. 1bis AsylG dar. Darüber hinaus ist auch darauf hinzuweisen, dass das Gericht im Urteil D-3265/2019 vom 18. Dezember 2019 zum Schluss kam, dass ein einmonatiger Besuch im Heimatland, welcher fast einen Monat im Voraus organisiert wurde, mehr als nur einen aus Pietätsgründen zwingend erforderlichen Besuch darstellt (a.a.O., E.5.3). Somit kann auch der vorab geplante einmonatige Besuch der Beschwerdeführerin bei der (nicht lebensbedrohlich) erkrankten Schwester nicht als Zwangslage gewertet werden. Zwar wird an dieser Stelle nicht verkannt, dass es für Flüchtlinge schwierig ist, über Jahre getrennt von nahen Familienangehörigen zu leben und das Bedürfnis - insbesondere bei schweren Erkrankungen von Familienmitgliedern - in ihrer Nähe zu sein, durchaus nachvollziehbar ist. Gleichwohl ist daran zu erinnern, dass der Schutz desjenigen Staates, der einer Person den Flüchtlingsstatus gewährt, ein subsidiärer ist (vgl. Urteil des BVGer E-5282/2019 vom 19. Dezember 2019 E. 5.3). Es ist nach dem Gesagten davon auszugehen, dass die Beschwerdeführerin die Reise nach Äthiopien freiwillig unternahm und damit freiwillig in Kontakt mit ihrem Heimatland trat.</w:t>
      </w:r>
    </w:p>
    <w:p>
      <w:r>
        <w:rPr>
          <w:b/>
        </w:rPr>
        <w:t>E. 6.4</w:t>
      </w:r>
    </w:p>
    <w:p>
      <w:r>
        <w:t>Zusammenfassend ist festzuhalten, dass vom Vorliegen der Voraussetzungen für die Aberkennung der Flüchtlingseigenschaft und den Widerruf des Asyls gemäss Art. 63 Abs. 1 Bst. b AsylG i.V.m. Art. 1 Bst. C Ziff. 1 FK auszugehen ist. Anzumerken bleibt, dass der Aufenthalt der Beschwerdeführerin in der Schweiz durch die Aberkennung der Flüchtlingseigenschaft derzeit nicht beeinträchtigt ist, da sie über eine Niederlassungsbewilligung C verfügt.</w:t>
      </w:r>
    </w:p>
    <w:p>
      <w:r>
        <w:rPr>
          <w:b/>
        </w:rPr>
        <w:t>E. 7</w:t>
      </w:r>
    </w:p>
    <w:p>
      <w:r>
        <w:t>Aus diesen Erwägungen ergibt sich, dass die angefochtene Verfügung Bundesrecht nicht verletzt und auch sonst nicht zu beanstanden ist (Art. 106 AsylG). Die Beschwerde ist demzufolge abzuweisen.</w:t>
      </w:r>
    </w:p>
    <w:p>
      <w:r>
        <w:rPr>
          <w:b/>
        </w:rPr>
        <w:t>E. 8</w:t>
      </w:r>
    </w:p>
    <w:p>
      <w:r>
        <w:t>Der Antrag auf Gewährung der unentgeltlichen Rechtspflege im Sinne von Art. 65 Abs. 1 VwVG ist abzuweisen, da die Begehren - wie sich aus den vorstehenden Erwägungen ergibt - als aussichtlos zu bezeichnen waren, womit die kumulativen Voraussetzungen von Art. 65 Abs. 1 VwVG nicht erfüllt sind.</w:t>
      </w:r>
    </w:p>
    <w:p>
      <w:r>
        <w:rPr>
          <w:b/>
        </w:rPr>
        <w:t>E. 9</w:t>
      </w:r>
    </w:p>
    <w:p>
      <w:r>
        <w:t>Bei diesem Ausgang des Verfahrens sind die Kosten der Beschwerdeführerin aufzuerlegen (Art. 63 Abs. 1 VwVG) und auf insgesamt Fr. 750. - festzulegen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