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E-3979/2010 vom 6. Juni 2012</w:t>
      </w:r>
    </w:p>
    <w:p>
      <w:r>
        <w:t>Bundesverwaltungsgericht, 2012-06-06, DE</w:t>
      </w:r>
    </w:p>
    <w:p>
      <w:r>
        <w:rPr>
          <w:b/>
        </w:rPr>
        <w:t xml:space="preserve">Quelle: </w:t>
      </w:r>
      <w:r>
        <w:t>https://mcp.opencaselaw.ch/entscheid/bvger_E-3979_2010</w:t>
      </w:r>
    </w:p>
    <w:p>
      <w:r>
        <w:t>FR: TAF E-3979/2010 du 6 juin 2012</w:t>
      </w:r>
    </w:p>
    <w:p>
      <w:r>
        <w:t>IT: TAF E-3979/2010 del 6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So hat die Anfrage des Instruktionsrichters vom 9. Februar 2012, die mit Schreiben vom 30. April 2012 beantwortet wurde, ergeben, dass der Beschwerdeführer trotz seines Untertauchens nach wie vor ein bestehendes Interesse an einem materiellen Beschwerdeentscheid haben dürfte, obschon er zur Zeit nicht kontaktierbar sei. Da auch kein Hinwies dafür besteht, dass der Beschwerdeführer mittlerweile Sri Lanka verlassen haben könnte, gilt er als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Gestützt auf Art. 111a Abs. 1 AsylG wurde vorliegend auf die Durchführung des Schriftenwechsels verzichtet.</w:t>
      </w:r>
    </w:p>
    <w:p>
      <w:r>
        <w:rPr>
          <w:b/>
        </w:rPr>
        <w:t>E. 2</w:t>
      </w:r>
    </w:p>
    <w:p>
      <w:r>
        <w:t>Der Beschwerdeführer beanstandete die Dauer des Verfahrens vor dem BFM und bezeichnete dessen Verfahrensführung als Verfahrensverschleppung. Er hält dem BFM vor, auf diese Weise wohl versucht zu haben, ihn zu vergällen respektive vom Asylgesuch abzuhalten. Da vor Ergehen des BFM-Entscheides keine formelle Rechtsverzögerungsbeschwerde eingereicht wurde und eine solche mit der Entscheidung in der Sache ohnehin gegenstandslos geworden wäre, ist an dieser Stelle nicht weiter auf den Vorhalt einer Rechtsverzögerung einzugehen.</w:t>
      </w:r>
    </w:p>
    <w:p>
      <w:r>
        <w:rPr>
          <w:b/>
        </w:rPr>
        <w:t>E. 3.1</w:t>
      </w:r>
    </w:p>
    <w:p>
      <w:r>
        <w:t>Der Beschwerdeführer rügte zudem, das Schreiben der Schweizer Botschaft vom 19. Mai 2009 sei nachträglich manipuliert worden, weshalb ihm der Anspruch auf vollständige Akteneinsicht beschnitten worden sei, der rechtserhebliche Sachverhalt sei vom BFM unvollständig und unrichtig festgestellt worden und es habe seine Verfügung unverständlich, nicht nachvollziehbar, widersprüchlich und mithin willkürlich begründet. Namentlich habe sich das BFM mit den wesentlichen Fragen nicht ausein­andergesetzt und bei interessierenden Themen (Probleme mit den TMVP, Umstände bei den Aufenthalten, Landessituation, Rollen der heutigen TMVP und der Behörden) nicht vertiefend nachgefragt oder abgeklärt.</w:t>
      </w:r>
    </w:p>
    <w:p>
      <w:r>
        <w:rPr>
          <w:b/>
        </w:rPr>
        <w:t>E. 3.2</w:t>
      </w:r>
    </w:p>
    <w:p>
      <w:r>
        <w:t>Diese Rügen sind vorab zu prüfen, da sie im Bejahungsfall zufolge Verletzung des Anspruchs auf Gewährung der rechtlichen Gehörs eine Kassation der angefochtenen Verfügung bewirken könnten.</w:t>
      </w:r>
    </w:p>
    <w:p>
      <w:r>
        <w:rPr>
          <w:b/>
        </w:rPr>
        <w:t>E. 3.3</w:t>
      </w:r>
    </w:p>
    <w:p>
      <w:r>
        <w:t>Im Asylverfahren ist der Sachverhalt grundsätzlich von Amtes wegen festzustellen (Art. 12 VwVG i.V.m. Art. 6 AsylG). Die behördliche Untersuchungspflicht wird durch die der asylsuchenden Person gestützt auf Art. 8 AsylG auferlegte Mitwirkungspflicht eingeschränkt, wobei diese insbesondere bei der Anhörung vollständig anzugeben hat, weshalb sie um Asyl nachsucht. Die asylsuchende Person hat Anspruch auf Mitwirkung, was sich unmittelbar aus dem Anspruch auf rechtliches Gehör (Art. 29 Abs. 2 der Bundesverfassung der Schweizerischen Eidgenossenschaft vom 18. April 1999 [BV, SR 101]; Art. 29 ff. VwVG i.V.m. Art. 6 AsylG) ergibt. Im Rahmen der dem Gehörsanspruch entspringenden behördlichen Begründungspflicht (Art. 35 Abs. 1 VwVG) hat die verfügende Behörde die Überlegungen substanziiert zu nennen, von denen sie sich leiten liess und auf die sich ihr Entscheid stützt. Eine hinreichende Begründung bildet die Grundlage für eine sachgerechte Anfechtung der Verfügung und ist eine unabdingbare Voraussetzung für die Beurteilung ihrer Rechtmässigkeit durch die Beschwerdeinstanz. Aus dem verfassungsmässigen Anspruch auf rechtliches Gehör ergibt sich allerdings keine Pflicht der Behörden, zu allen im Verfahren vorgetragenen Elementen ausführlich Stellung zu nehmen oder vertiefter nachzufragen; sie können sich bei der Begründung auf die für den Entscheid wesentlichen Punkte beschränken. Der Untersuchungsgrundsatz fordert deshalb nur dort eingehende Ermittlung und Würdigung des Sachverhalts von Amtes wegen, wo es sachverhaltsgerecht erscheint. Die urteilende Instanz soll somit in eigener Verantwortung die tatsächlichen Geschehnisse und Gegebenheiten (Urteilsgrundlagen) ermitteln, aus denen sich die Rechtsfolgen ergeben.</w:t>
      </w:r>
    </w:p>
    <w:p>
      <w:r>
        <w:rPr>
          <w:b/>
        </w:rPr>
        <w:t>E. 3.3.1</w:t>
      </w:r>
    </w:p>
    <w:p>
      <w:r>
        <w:t>Das BFM hat sich in der angefochtenen Verfügung auf die wesentlichen Gründe konzentriert und diese genügend ausführlich so beurteilt, dass der Beschwerdeführer diese hat sachgerecht anfechten können.</w:t>
      </w:r>
    </w:p>
    <w:p>
      <w:r>
        <w:rPr>
          <w:b/>
        </w:rPr>
        <w:t>E. 3.3.2</w:t>
      </w:r>
    </w:p>
    <w:p>
      <w:r>
        <w:t>Die Rüge, der Sachverhalt sei unvollständig erhoben worden, erweist sich nicht als stichhaltig, weil die Beschwerdeschrift zwar Themenbereiche für Präzisierungen zum erstellten Sachverhalt anregte, ohne aber grundlegend neue und erhebliche Sachverhaltselemente zu diesen Bereichen der Anhörungen zu nennen. Der Beschwerdeführer wurde nach Einreichung seines Gesuchs und einer Fülle ergänzender Beweismittel von der Schweizer Vertretung in Colombo zum Asylgesuch eingehend befragt. Der entscheidwesentliche Sachverhalt wurde angesichts der schriftlichen und mündlichen Darlegungen und der eingereichten Beweismittel vom BFM in ausreichender Weise und mithin korrekt erstellt.</w:t>
      </w:r>
    </w:p>
    <w:p>
      <w:r>
        <w:rPr>
          <w:b/>
        </w:rPr>
        <w:t>E. 3.3.3</w:t>
      </w:r>
    </w:p>
    <w:p>
      <w:r>
        <w:t>Der berechtigte Vorwurf einer unzulässigen Abdeckung einer Textpassage im Begleitschreiben der Botschaft vom 19. Mai 2009 (A16) wurde in der Zwischenverfügung vom 9. Februar 2009 behandelt. Das gerügte Aktenstück und die dem Rechtsbeistand damals noch nicht bekannten Aktenstücke (Kopien des Schreibens vom 3. Juli 2011) wurden offengelegt und Gelegenheit zur Einreichung einer Beschwerdeergänzung gegeben. Damit ist nicht mehr weiter auf diese Rüge einzugehen.</w:t>
      </w:r>
    </w:p>
    <w:p>
      <w:r>
        <w:rPr>
          <w:b/>
        </w:rPr>
        <w:t>E. 3.4</w:t>
      </w:r>
    </w:p>
    <w:p>
      <w:r>
        <w:t>Zusammenfassend hat das BFM den rechtserheblichen Sachverhalt korrekt abgeklärt und die Verfügung in ausreichender Weise begründet, weshalb keine Verletzung des Gehörsanspruchs vorliegt. Die in der Beschwerde erhobenen formellen Rügen erweisen sich im Urteilszeitpunkt als nicht haltbar beziehungsweise gegenstandslos. Der Antrag auf Rückweisung der Angelegenheit an die Vorinstanz (zu neuen Abklärungen und) zu neuem Entscheid (vgl. Beschwerde, Antrag 2) ist abzuweisen.</w:t>
      </w:r>
    </w:p>
    <w:p>
      <w:r>
        <w:rPr>
          <w:b/>
        </w:rPr>
        <w:t>E. 4.1</w:t>
      </w:r>
    </w:p>
    <w:p>
      <w:r>
        <w:t>Ein Asylgesuch kann im Ausland bei einer Schweizer Vertretung gestellt werden, die es mit einem Bericht an das BFM überweist (Art. 19 und Art. 20 Abs. 1 AsylG). Art. 10 der Asylverordnung 1 vom 11. August 1999 über Verfahrensfragen (AsylV 1, SR 142.311) sieht vor, dass die Schweizer Vertretung mit der asylsuchenden Person in der Regel eine Befragung durchführt (Art. 10 Abs. 1 AsylV 1).</w:t>
      </w:r>
    </w:p>
    <w:p>
      <w:r>
        <w:rPr>
          <w:b/>
        </w:rPr>
        <w:t>E. 4.2</w:t>
      </w:r>
    </w:p>
    <w:p>
      <w:r>
        <w:t>Das Bundesamt kann ein im Ausland gestelltes Asylgesuch ableh­nen, wenn die asylsuchende Person keine Verfolgung glaubhaft macht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 welche Praxis angesichts bloss redaktioneller Änderungen bei der letzten Totalrevision des Asylgesetzes nach wie vor Gültigkeit hat). Ausschlaggebend für die Erteilung der Einreisebewilligung ist die Schutzbedürftigkeit der betreffenden Person (vgl. EMARK 1997 Nr. 15 E. 2c), mithin die Fragen, ob eine Verfolgungsgefahr glaubhaft erscheint und ob der Verbleib am Aufent­haltsort für die Dauer der Sachverhaltsabklärung zuzumuten ist. 5.1 Die Erteilung einer Einreisebewilligung im Hinblick auf eine Asylgewährung setzt voraus, dass die ersuchende Person im Zeitpunkt des Asylentscheides in asylrechtlich relevanter Weise in erheblicher Weise verfolgt ist respektive begründete Furcht vor künftiger Verfolgung hat und deshalb den Schutz der Schweiz akut benötigt. 5.2 Die geltend gemachten Verfolgungshandlungen seitens mutmasslicher Aktivisten der TMVP seit 2007, die bereits alle männlichen Nachkommen der Familie des Beschwerdeführers behelligt hätten, oder gar der Regierungspartei sind nach Angaben des Beschwerdeführers wegen seiner mutmasslichen Nähe, wegen der Unterstützungshandlungen seiner Brüder zu Gunsten der LTTE und wegen seiner früheren angeblichen Kontakte mit Angehörigen der LTTE erfolgt. Dass er oder seine Angehörigen mit Personen der LTTE je Probleme gehabt hätten, verneinte er (A14 S. 6 ff.). In der Anhörung konnte er den Beginn seiner Probleme mit den TMVP in zeitlicher Hinsicht nicht auf den Monat genau fixieren (A14 S. 8). Dieser Umstand ist erstaunlich, war doch der Beginn der Furcht vor Aktionen der Angehörigen der TMVP angeblich entscheidend für das weitere Verhalten des Beschwerdeführers und seiner Brüder. So hätten sich, bevor sein Bruder entführt worden sei, erstmals zwei Rad fahrende Aktivisten der TMVP bei seiner Mutter nach seiner Person persönlich erkundigt (A14 S. 8). Zu Recht hat das BFM dem Beschwerdeführer vorgehalten, dass der eingereichte Polizeibericht von D._______ ein Verschwinden seines Bruders vom 12. Januar 2008 festhalte. Die blosse Erklärung des Beschwerdeführers, dies müsse ein Fehler sein (A14 S. 8), überzeugt nicht. Die Einschätzung des BFM, wonach zum heutigen Zeitpunkt, also nach dem Kriegsende vom Mai 2009 und nach der mittlerweile vollzogenen Umstrukturierung der damaligen Gruppierung der TMVP unter der Führung Pillayans zu einer politischen Kraft - keine akute Gefährdung des Beschwerdeführers mehr bestehe, ist zutreffend. Er hat denn auch an der Anhörung in der Botschaft und in der Beschwerde keine neuen relevanten Ereignisse geltend machen können. Auch hat sich der Rechtsbeistand nach seinen Recherchen bei dessen Verwandtschaft im In- und Ausland bloss auf eine wenig aussagekräftige Auskunft der Tante des Beschwerdeführers beziehen können. Nach ihren Angaben hat sich der Beschwerdeführer nach dem am (...) 2010 erfolgten Tod seiner Mutter (und Schwester der genannten Tante) während weniger Monate bei ihr aufgehalten. Darauf sei er aus Gründen der Sicherheit und wegen der durch unbekannte Personen verursachten Unannehmlichkeiten untergetaucht, und man wisse seither nichts mehr von ihm. Dieser Hinweis ist zu unsubstanziiert und namentlich auch zu wenig aktuell, als dass damit eine gegenwärtige Gefährdung glaubhaft gemacht werden kann, liegen doch mithin seit Beginn des Jahres 2011 keinerlei Angaben über die Lebenssituation des Beschwerdeführers vor. Ohne dass allfällige Einschüchterungsversuche politischer Gegner im heutigen Sri Lanka in Abrede gestellt oder verharmlost würden, kann für den gegenwärtigen Zeitpunkt keine aktuelle Verfolgung oder eine begründete Furcht vor künftiger Verfolgung erkannt werden, und zwar namentlich mangels der erforderlichen Intensität der in absehbarer Zeit und mit beachtlicher Wahrscheinlichkeit drohenden Eingriffe in die Grundwerte Leib, Leben und Freiheit des Beschwerdeführers. Im Übrigen ist dem BFM zuzustimmen, dass sich dieser - er weist auch aus Sicht des Gerichts offensichtlich nicht das Profil der in Sri Lanka gemeinhin von den Behörden gesuchten Personen auf - zum Schutz vor Verfolgungen Dritter an die staatlichen Organe seines Heimatlandes wen­den kann. Der nicht näher begründete Hinweis, er werde auch von der sri-lankischen Armee gesucht, entbehrt jeder Grundlage. Die eingereichten Beweismittel vermögen an dieser Sachlage nichts zu ändern. Im Lichte dieser eine aktuelle Schutzbedürftigkeit verneinenden Erwägun­gen kann sich das Gericht darauf beschränken, nur noch im Sinne einer Zusatzbegründung darauf hinzuweisen, dass von den weiteren kumulativ in Betracht zu ziehenden Kriterien (vgl. EMARK 1997 Nr. 15 E. 2d-g) na­mentlich auch die ausserordentliche Beziehungsnähe zur Schweiz nicht gegeben ist - so lebe bloss eine Cousine in der Schweiz (A14 S. 4) - und es dem Beschwerdeführer möglich sein dürfte, sich in einem anderen Landesteil Sri Lankas niederzulassen, falls er sich mit bestimmten Personen regional aktiver politischer Kräfte nicht über den Rechtsweg ausein­andersetzen möchte. 5.3 Zusammenfassend ist festzustellen, dass es dem Beschwerdeführer nicht gelungen ist, eine aktuelle oder drohende Verfolgung im Sinne von Art. 3 AsylG glaubhaft zu machen. Es erübrigt sich daher, auf weitere Vorbringen in der Beschwerde und die übrigen Beweismittel näher einzugehen, da sie keine wesentlichen neuen Begründungselemente enthalten, welche zu einer anderen Einschätzung führen könnten. Das BFM hat demnach zu Recht die Einreise des Beschwerdeführers in die Schweiz verweigert und sein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 7.1 Bei diesem Ausgang des Verfahrens wären dessen Kosten dem Be­schwerdeführer aufzuerlegen (Art. 63 Abs. 1 VwVG). Sein Gesuch um Ge­währung der unentgeltlichen Prozessführung im Sinne von Art. 65 Abs. 1 VwVG wurde indessen mit Zwischenverfügung vom 9. Februar 2012 gutgeheissen. Da weiterhin von seiner prozessualen Bedürftigkeit auszugehen ist, sind ihm keine Verfahrenskosten aufzuerlegen. 7.2 Mit der Einsetzung des Rechtsvertreters als amtlicher Rechtsbeistand mittels Zwischenverfügung vom 9. Februar 2012 ist ein Rechtsverhältnis zwischen ihm und dem Gericht begründet worden. Der Rechtsbeistand hat eine erste Kostennote vom 2. Juni 2010 und eine per 30. April 2012 aktualisierte eingereicht. Auf Letztere ist im Folgenden abzustellen. Er machte totale Aufwendungen von Fr. 3130.70 (inkl. Auslagen und Mehrwertsteueranteil) geltend, was - namentlich mit Blick auf Art. 10 Abs. 2 des Reglements vom 21. Februar 2008 über die Kosten und Entschädigungen vor dem Bundesverwaltungsgericht (VGKE, SR 173.320.2) und unter Berücksichtigung der Schwierigkeiten im Rahmen der Anfechtung der Verfügung (teilweise zu Unrecht verweigerte Akteneinsicht durchs BFM) sowie der entstandenen Aufwendungen für die Abklärungen in der Schweiz und im Heimatland - als angemessen erscheint. Dem Rechtsbeistand ist im Sinne von Art. 65 Abs. 2 VwVG und Art. 12 i.V.m. Art. 8 ff. VGKE ein amtliches Honorar im genannten Umfang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