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E-3977/2010 vom 22. Juli 2011</w:t>
      </w:r>
    </w:p>
    <w:p>
      <w:r>
        <w:t>Bundesverwaltungsgericht, 2011-07-22, DE</w:t>
      </w:r>
    </w:p>
    <w:p>
      <w:r>
        <w:rPr>
          <w:b/>
        </w:rPr>
        <w:t xml:space="preserve">Quelle: </w:t>
      </w:r>
      <w:r>
        <w:t>https://mcp.opencaselaw.ch/entscheid/bvger_E-3977_2010</w:t>
      </w:r>
    </w:p>
    <w:p>
      <w:r>
        <w:t>FR: TAF E-3977/2010 du 22 juillet 2011</w:t>
      </w:r>
    </w:p>
    <w:p>
      <w:r>
        <w:t>IT: TAF E-3977/2010 del 22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Das BFM hat die Flüchtlingseigenschaft des Beschwerdeführers ver­neint, sein Asylgesuch abgelehnt und ihn aus der Schweiz weggewie­sen. Der Be­schwerdeführer beantragt in seiner Beschwerde die Auf­hebung der Ver­fügung, soweit die Wegweisung und den Wegwei­sungsvollzug betreffend (Ziffern 3 und 4 des Dis­positivs). Die Verneinung der Flüchtlingseigen­schaft, die Ab­lehnung des Asylge­suchs und die Wegweisung an sich blieben somit unangefoch­ten und sind mit Ablauf der Beschwerdefrist in Rechtskraft er­wachsen (Dispositivziffern 1-2). Soweit formell auch die Aufhebung der Ziffer 3 des Dispositivs der an­gefochtenen Verfügung beantragt zu sein scheint, ist festzuhalten, dass aus der Beschwerdebegründung unmissverständlich hervorgeht, dass die Anfechtung der Wegweisungsanordnung bloss akzessori­schen Charakter zum Zweck der Anfechtung der Vollzugsanordnung hat und in materieller Hinsicht gänzlich unbegründet bleibt, weshalb nur von einer Anfechtung des Wegweisungsvollzugs auszugehen ist. Es ist somit einzig die Frage zu beantworten, ob die Wegweisung zu voll­zie­hen oder ob anstelle des Voll­zugs eine vor­läu­fige Aufnahme anzu­ord­nen ist (Art. 44 AsylG i.V.m. Art. 83 des Bundesgesetzes vom 16. De­zem­ber 2005 über die Ausländerinnen und Ausländer [AuG, SR 142.20]).</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3.2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andern Voraussetzungen eines rechtmässigen Wegweisungs­vollzugs zu verzichten.</w:t>
      </w:r>
    </w:p>
    <w:p>
      <w:r>
        <w:rPr>
          <w:b/>
        </w:rPr>
        <w:t>E. 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w:t>
      </w:r>
    </w:p>
    <w:p>
      <w:r>
        <w:t>Das Bundesverwaltungsgericht hat sich in einem Grundsatzurteil vom 16. Juni 2011 (E-7625/2008) eingehend zur Lage in Afghanis­tan geäussert. Es schätzt die Sicherheitslage und die humanitäre Situation als derart schlecht ein, dass - ausser allenfalls in den Grossstädten - von einer existenzbedrohenden Situation im Sinne von Art. 83 Abs. 4 AuG zu sprechen ist. Bezüglich der Hauptstadt Kabul ergibt die Lageanalyse ein vergleichsweise besseres Bild und eine Rückkehr wird nicht als generell unzumutbar beurteilt. Unter bestimmten, begünstigenden Umständen kann ein Wegweisungsvollzug dorthin - auch im Sinne einer zumutbaren Aufenthaltsalternative - als zumutbar erkannt werden. Dabei ist in einer Einzelfallprüfung abkzuklären, ob die in Entscheidungen und Mitteilungen der Schweizerischen Asylrekurskommission (EMARK) 2003 Nr. 10 formulierten strengen Bedingungen - etwa junger gesunder Mann, tragfähiges Beziehungsnetz, Möglichkeit der Siche­rung des Exis­tenzminimums, gesicherte Wohnsituation - erfüllt sind. Im Grundsatzurteil wird offen gelassen, ob die für Kabul gemachte Lageeinschätzung auch für die beiden Grossstädte Mazar-i- Sharif und Herat gelten</w:t>
      </w:r>
    </w:p>
    <w:p>
      <w:r>
        <w:rPr>
          <w:b/>
        </w:rPr>
        <w:t>E. 4.3</w:t>
      </w:r>
    </w:p>
    <w:p>
      <w:r>
        <w:t>Von der Vorinstanz wurde die allgemein angespannte Sicherheitslage in Afghanistan nicht in Zweifel gezogen. Weiter ging sie davon aus, dass in gewissen Regionen die Situation nicht permanent instabil sei und ein Vollzug dorthin grundsätzlich zumutbar sei. Für den Beschwerdeführer sei es trotz seiner Herkunft aus der Provinz Kunduz zumutbar nach Afghanistan zurückzukehren, da er mit seiner mehrjährigen Tätigkeit im Landwirtschaftsministerium in Kabul über ein berufliches und soziales Netz verfüge, welches es ihm ermöglichen werde, bei einer Rückkehr neue Lebensgrundlagen aufzubauen.</w:t>
      </w:r>
    </w:p>
    <w:p>
      <w:r>
        <w:rPr>
          <w:b/>
        </w:rPr>
        <w:t>E. 4.4</w:t>
      </w:r>
    </w:p>
    <w:p>
      <w:r>
        <w:t>Beim Beschwerdeführer handelt es sich um einen alleinstehenden, jungen und gemäss Akten gesunden Mann aus C._______, Provinz Kunduz, der seit März 2007 eine Anstellung als (...) im Landwirtschaftsministerium in Kabul gehabt hat. Seine Familie (Eltern und [...] Geschwister) lebt in C._______. Gemäss dem erwähntem Grundsatzurteil steht aufgrund der schlechten Sicherheitslage und der humanitären Situation ein Wegweisungsvollzug in die Provinz Kunduz nicht zur Diskussion und demnach ist zu prüfen, ob die für eine Aufenthaltsalternative in Kabul geforderten Bedingungen erfüllt sind. Gemäss Angaben des Beschwerdeführers hat er ab dem Jahr 2004 in Kabul gelebt und ab März 2007 auch gearbeitet. Er hat somit zweifellos einen Bezug zu Kabul. Allerdings ergeben sich aus den Akten keine Hinweise, welche darauf schliessen lassen, dass er nebst diesen eigenen Beziehungen zur Hauptstadt, die er vor bald zwei Jahren verlassen hat, dort über ein tragfähiges Beziehungsnetz verfügt. Weiter fehlen in den Akten Anhaltspunkte für eine Sicherung des Existenzminimums und eine gesicherte Wohnsituation bei einer Rückkehr, weshalb ein Wegweisungsvollzug nach Kabul ebenfalls als unzumutbar zu beurteilen ist. Von einer allenfalls möglichen Aufenthaltsalternative in den beiden anderen Grossstädten Mazar-i-Sharif und Herat ist nicht auszugehen, da sich keine Hinweise ergeben, wonach der Beschwerdeführer irgendwelchen Bezug hätte zu diesen Städten.</w:t>
      </w:r>
    </w:p>
    <w:p>
      <w:r>
        <w:rPr>
          <w:b/>
        </w:rPr>
        <w:t>E. 4.5</w:t>
      </w:r>
    </w:p>
    <w:p>
      <w:r>
        <w:t>Der Vollzug der Weg­wei­sung des Beschwerdeführers ist somit als unzumutbar zu be­zeich­nen. Die Voraussetzungen für die Gewährung der vorläufigen Aufnahme sind erfüllt, nachdem den Akten keinerlei Hinweise auf Ausschlussgründe gemäss Art. 83 Abs. 7 AuG zu ent­nehmen sind.</w:t>
      </w:r>
    </w:p>
    <w:p>
      <w:r>
        <w:rPr>
          <w:b/>
        </w:rPr>
        <w:t>E. 5</w:t>
      </w:r>
    </w:p>
    <w:p>
      <w:r>
        <w:t>Die Beschwerde ist nach dem Gesagten gutzuheissen. Die Ziffern 4 und 5 des Dispositivs der angefochtenen Verfügung des BFM vom 6. Mai 2010 sind aufzuheben, und die Vorinstanz ist anzuwei­sen, den Beschwerdeführer in der Schweiz vorläufig aufzunehmen.</w:t>
      </w:r>
    </w:p>
    <w:p>
      <w:r>
        <w:rPr>
          <w:b/>
        </w:rPr>
        <w:t>E. 6.1</w:t>
      </w:r>
    </w:p>
    <w:p>
      <w:r>
        <w:t>Bei diesem Ausgang des Verfahrens und aufgrund der mit Zwischenverfügung vom 9. Juni 2010 gewährten unentgeltlichen Rechtspflege sind keine Kosten zu erheben (Art. 63 Abs. 1 VwVG).</w:t>
      </w:r>
    </w:p>
    <w:p>
      <w:r>
        <w:rPr>
          <w:b/>
        </w:rPr>
        <w:t>E. 6.2</w:t>
      </w:r>
    </w:p>
    <w:p>
      <w:r>
        <w:t>Der Beschwerdeführer hat aufgrund der Gutheissung der Beschwerde in Anwendung von Art. 64 Abs. 1 VwVG und Art. 7 des Reglements vom 21. Februar 2008 über die Kosten und Entschädigungen vor dem Bundesverwaltungsgericht (VGKE, SR 173.320.2) einen Anspruch auf Ausrichtung einer Parteientschädigung für die ihm erwachsenen notwendigen und verhältnismässig hohen Kosten. Der notwendige Vertretungsaufwand lässt sich aufgrund der Akten, gemäss welchen keine Kostennote vorliegt, zuverlässig abschätzen, weshalb auf die Einforderung einer Kostennote verzichtet werden kann. Unter Berücksichtigung der massgebenden Berechnungsfaktoren (Art. 9 ff. VGKE) ist die von der Vorinstanz zu entrichtende Parteientschädigung auf Fr. 500.-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