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E-3974/2018 vom 22. April 2020</w:t>
      </w:r>
    </w:p>
    <w:p>
      <w:r>
        <w:t>Bundesverwaltungsgericht, 2020-04-22, FR</w:t>
      </w:r>
    </w:p>
    <w:p>
      <w:r>
        <w:rPr>
          <w:b/>
        </w:rPr>
        <w:t xml:space="preserve">Quelle: </w:t>
      </w:r>
      <w:r>
        <w:t>https://mcp.opencaselaw.ch/entscheid/bvger_E-3974_2018</w:t>
      </w:r>
    </w:p>
    <w:p>
      <w:r>
        <w:t>FR: TAF E-3974/2018 du 22 avril 2020</w:t>
      </w:r>
    </w:p>
    <w:p>
      <w:r>
        <w:t>IT: TAF E-3974/2018 del 22 aprile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al. 1 LAsi).</w:t>
      </w:r>
    </w:p>
    <w:p>
      <w:r>
        <w:rPr>
          <w:b/>
        </w:rPr>
        <w:t>E. 1.3</w:t>
      </w:r>
    </w:p>
    <w:p>
      <w:r>
        <w:t>Le recourant a qualité pour recourir ; présenté dans la forme et dans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et le sérieux de ses motifs.</w:t>
      </w:r>
    </w:p>
    <w:p>
      <w:r>
        <w:rPr>
          <w:b/>
        </w:rPr>
        <w:t>E. 3.2</w:t>
      </w:r>
    </w:p>
    <w:p>
      <w:r>
        <w:t>En effet, il ressort de ses dires qu'il a quitté l'Afghanistan, il y a déjà de nombreuses années, en raison de la situation d'insécurité qui y régnait. Cet état de fait aujourd'hui persistant, qui a amené l'autorité inférieure à constater le caractère non raisonnablement exigible de l'exécution du renvoi, n'implique cependant aucun risque de persécution personnelle. Les considérations auxquelles l'intéressé se livre à ce sujet dans l'acte de recours (cf. p. 5 à 6) sont ainsi sans pertinence ; il s'y réfère du reste, pour partie, à la description de la situation telle qu'elle existait en 1992, au moment où il a quitté définitivement l'Afghanistan (cf. p. 4 à 5 de l'acte de recours ; procès-verbal [p-v] de l'audition du 27 février 2017, question 93).</w:t>
      </w:r>
    </w:p>
    <w:p>
      <w:r>
        <w:rPr>
          <w:b/>
        </w:rPr>
        <w:t>E. 3.3</w:t>
      </w:r>
    </w:p>
    <w:p>
      <w:r>
        <w:t>Le recourant fait par ailleurs valoir que les personnes qui auraient projeté de s'en prendre à son épouse, laquelle se serait soustraite aux volontés de son père, nourriraient les mêmes desseins à son égard. Le Tribunal rappelle qu'une persécution émanant de groupes privés ou non étatiques peut certes être retenue, dans la mesure où aucune protection adéquate ne peut être obtenue dans le pays d'origine, bien que celui-ci serait en mesure de l'offrir (cf. ATAF 2011/51 consid. 7.1 à 7.4). Cependant, un tel risque - à supposer qu'il soit crédible - ne se baserait en l'espèce sur aucun des motifs prévus à l'art. 3 LAsi, puisque trouvant son origine dans un différend privé entre l'intéressé et des tiers d'ailleurs mal déterminés (cf. arrêt E-6790/2019 du 10 janvier 2020 consid. 5 et réf. cit.). Il en va de même des menaces de mort censément adressées au recourant par son beau-frère, lesquelles sont aussi basées sur un conflit d'ordre privé.</w:t>
      </w:r>
    </w:p>
    <w:p>
      <w:r>
        <w:rPr>
          <w:b/>
        </w:rPr>
        <w:t>E. 3.4</w:t>
      </w:r>
    </w:p>
    <w:p>
      <w:r>
        <w:t>A cela s'ajoute que les risques dépeints sont dénués de vraisemblance. En effet, le recourant lui-même n'a jamais fait état d'un danger provenant des personnes en antagonisme avec la famille de son épouse, si tant est qu'ils soient même au courant de son existence ; en outre, le Tribunal ne discerne pas pour quelle raison ces personnes envisageraient de s'en prendre à lui, dans la mesure où il n'aurait été aucunement impliqué dans les événements en cause. Par ailleurs, l'intéressé n'est en rien coupable d'un manquement aux moeurs prévalant en Afghanistan, de sorte que les considérations de la réponse du SEM relatives aux crimes d'honneur apparaissent oiseuses. De même, rien ne permet de retenir qu'il puisse être visé par une quelconque vengeance privée, ainsi que l'a relevé la réponse de l'autorité inférieure, les frères de son épouse, pourtant tout aussi exposés, n'ayant eux-mêmes pas rencontré de difficultés particulières. En outre, à supposer qu'elles soient avérées - ce que rien n'atteste de manière convaincante -, les menaces adressées au recourant par son beau-frère ne peuvent guère avoir de portée, celui-ci se trouvant en Iran ; le cas échéant, il ne serait d'ailleurs pas difficile à l'intéressé, admis provisoirement en Suisse, d'en être protégé.</w:t>
      </w:r>
    </w:p>
    <w:p>
      <w:r>
        <w:rPr>
          <w:b/>
        </w:rPr>
        <w:t>E. 3.5</w:t>
      </w:r>
    </w:p>
    <w:p>
      <w:r>
        <w:t>S'étant prononcé sur l'application de l'art. 3 LAsi, le SEM n'a pas examiné celle de l'art. 51 al. 1 LAsi, alors qu'il aurait dû le faire, dès lors que la séparation des époux est antérieure à ses décisions d'octroi de l'asile à l'épouse et de refus de l'asile (à titre originaire) à l'époux. Selon le principe de l'unité de la procédure, l'autorité de recours ne peut statuer que sur les prétentions ou les rapports juridiques sur lesquels l'autorité précédente s'est déjà prononcée ou aurait dû le faire, qui délimitent l'objet de la procédure de recours ("Anfechtungsgegenstand"). Les conclusions du recourant, qui déterminent, selon la maxime de disposition, l'objet exact du litige devant l'autorité de recours ("Streitgegenstand"), doivent obligatoirement s'inscrire dans ce cadre prédéfini, sous peine d'irrecevabilité (cf. ATF 131 II 200 consid. 3.2 ; arrêt du Tribunal fédéral 2C_612/2007 du 7 avril 2008 consid. 4.1 ; ATAF 2009/54 consid. 1.3.3 ; arrêts du Tribunal administratif fédéral A-4674/2010 du 22 décembre 2011 consid. 1.2.1, A-2232/2010 du 31 mars 2011 consid. 2.1 et A-67/2010 du 6 octobre 2010 consid. 2.1 ; ANDRÉ MOSER/MICHAEL BEUSCH/LORENZ KNEUBÜHLER, Prozessieren vor dem Bundesverwaltungsgericht, 2e éd., 2013, n° 2.1, 2.7 s. et 2.213 ; PIERRE MOOR/ETIENNE POLTIER, Droit administratif, vol. II, 3e éd., 2011, p. 823 ss ; MARKUS MÜLLER, in : Christoph Auer/Markus Müller/Benjamin Schindler [éd.], Kommentar zum Bundesgesetz über das Verwaltungsverfahren [VwVG], 2008, n° 5 ad art. 44 PA). En l'occurrence, dans la mesure où le recourant a conclu à l'octroi de l'asile, il y a lieu d'examiner si le SEM aurait dû faire application, en faveur de celui-ci, de l'art. 51 al. 1 LAsi, aux termes duquel le conjoint d'un réfugié et ses enfants mineurs sont reconnus comme réfugiés et obtiennent l'asile, pour autant qu'aucune circonstance particulière ne s'y oppose. La jurisprudence a toutefois admis (cf. arrêt E-6579/2019 du 6 février 2020 consid. 4.2 et réf. cit., dont ATAF 2015/40 consid. 3.4.4.5) qu'une séparation de fait des époux constitue une circonstance particulière excluant l'octroi de l'asile familial prévu à l'art. 51 LAsi et une exception au principe de l'unité de la famille cité à l'art. 44 LAsi ; en effet, accorder dans un tel cas l'asile familial au conjoint non reconnu réfugié serait contraire à un des buts de l'art. 51 al. 1 LAsi, qui est de conférer le même statut de droit au groupe familial faisant vie commune, composé des époux et le cas échéant de leurs enfants (cf. ATAF 2019 VI/3 consid. 5.6). Les mêmes considérations valent d'autant plus dans le cas d'une séparation sanctionnée par une décision judiciaire, comme c'est le cas en l'espèce ; en effet, les mesures protectrices de l'union conjugale, décidées par le tribunal de E._______ le (...) novembre 2017, ont suspendu la vie commune des époux pour une durée indéterminée et réparti la garde des enfants entre eux. Les intéressés n'ont pas repris la vie commune depuis lors ; aucun indice ne permet en outre de retenir qu'ils entendent le faire dans un avenir prévisible, le recourant mentionnant lui-même dans sa réplique l'officialisation de sa séparation d'avec son épouse. Dans ces conditions, l'asile familial ne doit pas non plus être accordé au recourant.</w:t>
      </w:r>
    </w:p>
    <w:p>
      <w:r>
        <w:rPr>
          <w:b/>
        </w:rPr>
        <w:t>E. 3.6</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donc pas à être tranchée.</w:t>
      </w:r>
    </w:p>
    <w:p>
      <w:r>
        <w:rPr>
          <w:b/>
        </w:rPr>
        <w:t>E. 5</w:t>
      </w:r>
    </w:p>
    <w:p>
      <w:r>
        <w:t>Dans ces conditions, la décision attaquée ne viole pas le droit fédéral et a établi de manière exacte et complète l'état de fait pertinent (art. 106 al. 1 LAsi). En conséquence, le recours est rejeté.</w:t>
      </w:r>
    </w:p>
    <w:p>
      <w:r>
        <w:rPr>
          <w:b/>
        </w:rPr>
        <w:t>E. 6.1</w:t>
      </w:r>
    </w:p>
    <w:p>
      <w:r>
        <w:t>L'assistance judiciaire ayant été accordée, il n'y a pas lieu de percevoir de frais (art. 65 al. 1 PA).</w:t>
      </w:r>
    </w:p>
    <w:p>
      <w:r>
        <w:rPr>
          <w:b/>
        </w:rPr>
        <w:t>E. 6.2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6.3</w:t>
      </w:r>
    </w:p>
    <w:p>
      <w:r>
        <w:t>Dans le cas d'espèce, le Tribunal estime le temps de travail nécessité par la procédure de recours (rédaction d'un acte de recours et d'une réplique) à quatre heures. L'indemnité est ainsi arrêtée à 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