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E-3972/2023 vom 12. Juni 2023</w:t>
      </w:r>
    </w:p>
    <w:p>
      <w:r>
        <w:t>Bundesverwaltungsgericht, 2023-06-12, DE</w:t>
      </w:r>
    </w:p>
    <w:p>
      <w:r>
        <w:rPr>
          <w:b/>
        </w:rPr>
        <w:t xml:space="preserve">Quelle: </w:t>
      </w:r>
      <w:r>
        <w:t>https://mcp.opencaselaw.ch/entscheid/bvger_E-3972_2023_d20230612</w:t>
      </w:r>
    </w:p>
    <w:p>
      <w:r>
        <w:t>FR: TAF E-3972/2023 du 12 juin 2023</w:t>
      </w:r>
    </w:p>
    <w:p>
      <w:r>
        <w:t>IT: TAF E-3972/2023 del 12 giugno 2023</w:t>
      </w:r>
    </w:p>
    <w:p>
      <w:pPr>
        <w:pStyle w:val="Heading2"/>
      </w:pPr>
      <w:r>
        <w:t>Regeste</w:t>
      </w:r>
    </w:p>
    <w:p>
      <w:r>
        <w:t>Asyl und Wegweisung | Asyl und Wegweisung; Verfügung des SEM vom 12. Juni 2023</w:t>
      </w:r>
    </w:p>
    <w:p>
      <w:pPr>
        <w:pStyle w:val="Heading2"/>
      </w:pPr>
      <w:r>
        <w:t>Erwägungen</w:t>
      </w:r>
    </w:p>
    <w:p>
      <w:r>
        <w:rPr>
          <w:b/>
        </w:rPr>
        <w:t>E. 3</w:t>
      </w:r>
    </w:p>
    <w:p>
      <w:r>
        <w:t>AsylG auszugehen ist (vgl. Referenzurteil des Bundesverwaltungsge- richts E-4103/2024 vom 8. November 2024, E. 8ff.), dass es dem Beschwerdeführer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w:t>
      </w:r>
    </w:p>
    <w:p>
      <w:r>
        <w:t>E-3972/2023 Seite 7 Wegweisung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der Beschwerdeführer aus Uludere (Provinz Sirnak) stammt und die Vorinstanz im Zeitpunkt des Erlasses der angefochtenen Verfügung zutref- fend davon ausging, dass der Vollzug der Wegweisung in die Provinz Sirnak aufgrund gewaltsamer Auseinandersetzungen als generell nicht zu- mutbar zu qualifizieren war (vgl. BVGE 2013/2 E. 9.6; Referenzurteil des BVGer E-1948/2018 vom 12. Juni 2018 E. 7.3.1), dass im Sinne des kürzlich ergangenen Koordinationsurteils des BVGer E- 4103/2024 vom 8. November 2024, E. 13.4.8, die Zumutbarkeit von Weg- weisungsvollzügen in die Provinz Sirnak im Einzelfall nach individueller Prüfung zu bejahen ist, dass die Vorinstanz zutreffend davon ausging, dass der Beschwerdeführer über eine Aufenthaltsalternative innerhalb der Türkei verfügt und deren In- anspruchnahme zumutbar ist, dass der Beschwerdeführer bereits vor der Ausreise mit seiner Mutter nach Istanbul zog, wo er Verwandte hat und er mit seiner Mutter und seinen</w:t>
      </w:r>
    </w:p>
    <w:p>
      <w:r>
        <w:t>E-3972/2023 Seite 8 Geschwistern, die ebenfalls in die Türkei zurückkehren müssen, leben kann (vgl. Urteile des BVGer E-3974/2023 und E-3977/2023 vom 17. Feb- ruar 2025), dass sich eine individuelle Prüfung der Zumutbarkeit des Wegweisungs- vollzugs in die Provinz Sirnak insofern erübrigt, dass schliesslich mit der Vorinstanz festzustellen ist, dass gemäss den bei den Akten liegenden medizinischen Unterlagen die gesundheitliche Situa- tion des Beschwerdeführers der Zumutbarkeit des Wegweisungsvollzugs nicht entgegensteht,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welche praxisge- mäss auf Fr. 750.– zu bestimmen sind, dem Beschwerdeführer aufzuerle- gen sind (Art. 63 Abs. 1 VwVG; Art. 1-3 des Reglements vom 21. Februar 2008 über die Kosten und Entschädigungen vor dem Bundesverwaltungs- gericht [VGKE, SR 173.320.2]), dass der in gleicher Höhe geleistete Kostenvorschuss zur Bezahlung der Verfahrenskosten zu verwenden ist.</w:t>
      </w:r>
    </w:p>
    <w:p>
      <w:r>
        <w:t>(Dispositiv nächste Seite)</w:t>
      </w:r>
    </w:p>
    <w:p>
      <w:r>
        <w:t>E-3972/2023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