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E-3972/2015 vom 15. Juni 2017</w:t>
      </w:r>
    </w:p>
    <w:p>
      <w:r>
        <w:t>Bundesverwaltungsgericht, 2017-06-15, DE</w:t>
      </w:r>
    </w:p>
    <w:p>
      <w:r>
        <w:rPr>
          <w:b/>
        </w:rPr>
        <w:t xml:space="preserve">Quelle: </w:t>
      </w:r>
      <w:r>
        <w:t>https://mcp.opencaselaw.ch/entscheid/bvger_E-3972_2015</w:t>
      </w:r>
    </w:p>
    <w:p>
      <w:r>
        <w:t>FR: TAF E-3972/2015 du 15 juin 2017</w:t>
      </w:r>
    </w:p>
    <w:p>
      <w:r>
        <w:t>IT: TAF E-3972/2015 del 15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mithin einzutreten.</w:t>
      </w:r>
    </w:p>
    <w:p>
      <w:r>
        <w:rPr>
          <w:b/>
        </w:rPr>
        <w:t>E. 2.1</w:t>
      </w:r>
    </w:p>
    <w:p>
      <w:r>
        <w:t>Die Kognition des Bundesverwaltungsgerichts und die zulässigen Rügen richten sich im Asylbereich nach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Ein Abgleich der Fingerabdrücke des Beschwerdeführers mit der "Eurodac"-Datenbank ergab, dass dieser am 21. Mai 2015 in Ungarn ein Asylgesuch eingereicht hatte. Mit Mitteilung vom 9. Juni 2015 entsprachen die ungarischen Behörden dem Wiederaufnahmeersuchen des SEM vom 2. Juni 2015. Die grundsätzliche Zuständigkeit Ungarns ist somit gegeben, was auch seitens des Beschwerdeführers unbestritten blieb.</w:t>
      </w:r>
    </w:p>
    <w:p>
      <w:r>
        <w:rPr>
          <w:b/>
        </w:rPr>
        <w:t>E. 5.1</w:t>
      </w:r>
    </w:p>
    <w:p>
      <w:r>
        <w:t>Im Lichte von Art. 3 Abs. 2 Dublin-III-VO ist weiter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welche die grundsätzliche Zuständigkeit Ungarns im Sinne von Art. 3 Abs. 1 Dublin-III-VO durchbrechen würden.</w:t>
      </w:r>
    </w:p>
    <w:p>
      <w:r>
        <w:rPr>
          <w:b/>
        </w:rPr>
        <w:t>E. 5.2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Vorbringen in der Beschwerde vom 25. Juni 2015 zu beurteilen. Die angefochtene Verfügung ist folglich aufzuheben und die Sache zur vollständigen Sachverhaltsfeststellung sowie zur neuen Entscheidung an die Vorinstanz zurückzuweisen. Die Beschwerde ist demnach gutzuheissen, ohne dass auf die weiteren Beschwerdevorbringen eingegangen werden müsste. Nachdem sich die Beschwerde aufgrund des oben Gesagten zum heutigen Zeitpunkt als offensichtlich begründet erweist, ist sie im Einzelrichterverfahren mit Zustimmung eines zweiten Richters beziehungsweise einer zweiten Richterin gutzuheissen (Art. 111 Bst. e AsylG).</w:t>
      </w:r>
    </w:p>
    <w:p>
      <w:r>
        <w:rPr>
          <w:b/>
        </w:rPr>
        <w:t>E. 6.1</w:t>
      </w:r>
    </w:p>
    <w:p>
      <w:r>
        <w:t>Bei diesem Ausgang des Verfahrens sind keine Verfahrenskosten zu erheben (Art. 63 Abs. 1 und 2 VwVG).</w:t>
      </w:r>
    </w:p>
    <w:p>
      <w:r>
        <w:rPr>
          <w:b/>
        </w:rPr>
        <w:t>E. 6.2</w:t>
      </w:r>
    </w:p>
    <w:p>
      <w:r>
        <w:t>Eine Parteientschädigung ist nicht geschuldet. Dass der Beschwerdeführer mit Verfügung des SEM vom 27. Oktober 2015 dem Kanton (...) zugewiesen worden ist, ändert nichts daran, dass sein erstinstanzliches Asylverfahren durch das SEM als beschleunigtes Verfahren gemäss Art. 17 TestV geführt und mit Verfügung des SEM vom 17. Juni 2015 erstinstanzlich abgeschlossen worden ist. Für einen Wechsel vom beschleunigten Verfahren in das Verfahren ausserhalb der Testphase ist nach Abschluss des erstinstanzlichen Verfahrens kein Raum. Die Kosten der Rechtsvertretung, die im beschleunigten Verfahren anfallen, sind im Rahmen der mit dem Leistungserbringer vertraglich festgelegten Pauschale für die Abgeltung der Verwaltungs- und Personalkosten (Art. 28 Abs. 3 Bstn. a und b i.V.m. Art. 28 Abs. 1 Bst. d TestV) abgedeckt (vgl. Entscheid des BVGer D-2691/2016 vom 14. Juni 2017 E. 9).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