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E-3970/2018 vom 20. Juli 2018</w:t>
      </w:r>
    </w:p>
    <w:p>
      <w:r>
        <w:t>Bundesverwaltungsgericht, 2018-07-20, DE</w:t>
      </w:r>
    </w:p>
    <w:p>
      <w:r>
        <w:rPr>
          <w:b/>
        </w:rPr>
        <w:t xml:space="preserve">Quelle: </w:t>
      </w:r>
      <w:r>
        <w:t>https://mcp.opencaselaw.ch/entscheid/bvger_E-3970_2018</w:t>
      </w:r>
    </w:p>
    <w:p>
      <w:r>
        <w:t>FR: TAF E-3970/2018 du 20 juillet 2018</w:t>
      </w:r>
    </w:p>
    <w:p>
      <w:r>
        <w:t>IT: TAF E-3970/2018 del 20 luglio 2018</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ist in der Regel nicht einzutreten, wenn Asylsuchende in einen Drittstaat ausreisen können, der für die Durchführung des Asyl- und Wegweisungsverfahrens staatsvertraglich zuständig ist (Art. 31a Abs. 1 Bst. b AsylG). Zur Anwendung gelangt das Dublin-Assoziierungsabkommen vom 26. Oktober 2004 (DAA, SR 0.142.392.68). Das SEM hat die Zuständigkeitsfrage gestützt auf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geprüft. Gemäss Art. 3 Abs. 1 Dublin-III-VO ist jeder Asylantrag von einem einzigen Mitgliedstaat zu prüfen, der nach den Kriterien des Kapitels III (Art. 8-15 Dublin-III-VO) als zuständiger Staat bestimmt wird, wobei die einzelnen Bestimmungskriterien in der Reihenfolge ihrer Auflistung im Kapitel III Anwendung finden (Art. 7 Abs. 1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Gemäss CS-VIS hat Italien der Beschwerdeführerin vom 15. November 2017 bis 21. November 2017 ein Visum ausgestellt. Gestützt darauf ersuchte die Vorinstanz gemäss Art. 12 Abs. 4 Dublin-III-VO zurecht die italienischen Behörden um Wiederaufnahme. Die italienischen Behörden liessen das Übernahmeersuchen des SEM innert der in Art. 22 Abs. 1 Dublin-III-VO vorgesehenen Frist unbeantwortet, womit sie die Zuständigkeit Italiens implizit anerkannten (Art. 22 Abs. 7 Dublin-III-VO). Die Zuständigkeit Italiens ist somit grundsätzlich gegeben, was von der Beschwerdeführerin auch nicht bestritten wurde.</w:t>
      </w:r>
    </w:p>
    <w:p>
      <w:r>
        <w:rPr>
          <w:b/>
        </w:rPr>
        <w:t>E. 4.1</w:t>
      </w:r>
    </w:p>
    <w:p>
      <w:r>
        <w:t>Die Vorinstanz begründet ihren Entscheid damit, es würde sich vorliegend nicht um einen gravierenden Ausnahmefall gemäss Art. 16 Abs. 1 Dublin-III-VO handeln, anlässlich welchem eine Person von der Unterstützung eines engen Verwandten abhängig sei. Im Hinblick auf den medizinischen Zustand der Beschwerdeführerin gäbe es keinen Grund zur Annahme, eine Überstellung nach Italien bedeute einen Verstoss gegen Art. 3 EMRK. Folglich bestehe auch keine Verpflichtung, die Souveränitätsklausel gemäss Art. 29 Abs. 3 AsylV 1 i.V.m. Art. 17 Abs. 1 Dublin-III-VO anzuwenden.</w:t>
      </w:r>
    </w:p>
    <w:p>
      <w:r>
        <w:rPr>
          <w:b/>
        </w:rPr>
        <w:t>E. 4.2</w:t>
      </w:r>
    </w:p>
    <w:p>
      <w:r>
        <w:t>Die Beschwerdeführerin bringt gegen ihre Überstellung nach Italien vor, ihr Sohn wohne in der Schweiz und verfüge über eine B-Bewilligung. Sie sei alt und auf die Unterstützung ihres Sohnes angewiesen. Deshalb wolle sie in der Schweiz bleiben.</w:t>
      </w:r>
    </w:p>
    <w:p>
      <w:r>
        <w:rPr>
          <w:b/>
        </w:rPr>
        <w:t>E. 4.3</w:t>
      </w:r>
    </w:p>
    <w:p>
      <w:r>
        <w:t>Zu Art. 16 Abs. 1 Dublin-III-VO ist vorab festzuhalten, dass es sich bei dieser Bestimmung nicht um das sogenannte Selbsteintrittsrecht der Schweiz handelt; jenes ist in Art. 17 Abs. 1 Dublin-III-VO geregelt. Bei Art. 16 Abs. 1 Dublin-III-VO handelt es sich um eine Bestimmung, in der die wesentlichen Lebenssachverhalte genannt werden, die eine Person in einer solchen Weise verletzlich machen können, dass eine Zusammenführung mit bestimmten Bezugspersonen zur humanitären Pflicht wird. Der Ermessensspielraum der entscheidenden Behörde wird für die darin bezeichneten Umstände mithin derart verengt, dass es für sie bei einer solchen Konstellation nur noch eine rechtmässige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(Filzwieser/Sprung, Dublin III-Verordnung. Das Europäische Asylzuständigkeitssystem, Wien/Graz 2014, K1-4 zu Art. 16, K2-4 zu Art. 17; vgl. dazu und zum Nachfolgenden auch Urteil des BVGer E-474/2014 vom 21. Oktober 2014 E. 6.2; D-3794/2014 vom 17. April 2015 E. 6.1; D-1416/2016 vom 19. Juli 2016 E. 6.1). 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BVGer E-7488/2014 vom 8. Januar 2015 E. 6.2.1). Der Vorinstanz ist zuzustimmen. Aus Art. 16 Abs. 1 Dublin-III-VO lässt sich keine Zuständigkeit der Schweiz ableiten, da zwischen der Beschwerdeführerin und ihrem Sohn kein Abhängigkeitsverhältnis im vorstehend dargelegten Sinne besteht. Der Sohn wohnt bereits seit 8 Jahren getrennt von der Beschwerdeführerin in der Schweiz. Dies lässt nicht erkennen, dass sie auf die Unterstützung ihres Sohnes angewiesen ist. Auch ihr Gesundheitszustand lässt nicht auf einen gravierenden medizinischen Ausnahmefall schliessen, der die Zuständigkeit der Schweiz begründet. Sie leidet unter einer essentiellen (primären) Hypertonie, einer subjektiven Sehstörung sowie an einem Vitamin-D-Mangel. Zudem besteht ein Verdacht auf ein Impingement-Syndrom an der linken Schulter. Im aktuellsten Arztbericht vom 25. Mai 2018 ist eine Medikation vorgesehen, eine Nachkontrolle ist nicht indiziert.</w:t>
      </w:r>
    </w:p>
    <w:p>
      <w:r>
        <w:rPr>
          <w:b/>
        </w:rPr>
        <w:t>E. 4.4</w:t>
      </w:r>
    </w:p>
    <w:p>
      <w:r>
        <w:t>Im Übrigen umfasst gemäss Art. 2 Bst. g Dublin-III-VO der Begriff "Familienangehörige" nur die Kernfamilie, das heisst Ehegatten, Lebenspartner/innen und minderjährige Kinder. Volljährige Kinder - der Sohn wurde am (...) geboren - fallen nicht unter den vorgenannten Definitionsbereich. Folglich kann sich die Beschwerdeführerin auch nicht auf die Be-stimmungen über den Schutz der Familieneinheit (Art. 9 f. Dublin-III-VO) berufen.</w:t>
      </w:r>
    </w:p>
    <w:p>
      <w:r>
        <w:rPr>
          <w:b/>
        </w:rPr>
        <w:t>E. 5.1</w:t>
      </w:r>
    </w:p>
    <w:p>
      <w:r>
        <w:t>Die Beschwerdeführerin beruft sich auf ihren Gesundheitszustand. Implizit macht sie geltend, die Überstellung nach Italien gefährde ihre Gesundheit und verletze damit Art. 3 EMRK. Die Vorinstanz sei deshalb anzuweisen, von ihrem Selbsteintritt gemäss Art. 17 Abs. 1 Dublin-III-VO Gebrauch zu machen.</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Eine zwangsweise Rückweisung von Personen mit gesundheitlichen Problemen kann nur ganz ausnahmsweise einen Verstoss gegen Art. 3 EMRK darstellen. Dies ist insbesondere der Fall, wenn sich die betroffene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Gemäss neuerer Praxis des EGMR kann ein Verstoss gegen Art. 3 EMRK aber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5.4</w:t>
      </w:r>
    </w:p>
    <w:p>
      <w:r>
        <w:t>Für die Situation der Beschwerdeführerin trifft dies nicht zu. Sie leidet unter den bereits in 4.3 aufgeführten Beschwerden, welche medikamentös behandelt werden können. Eine Nachkontrolle ist nicht geplant. Folglich ist auszuschliessen, dass sie sich in einem terminalen Krankheitsstadium beziehungsweise in Todesnähe befindet. Die medizinische Behandlung steht einem Vollzug der Wegweisung der Beschwerdeführerin nicht entgegen. Entsprechende medizinische Massnahmen können in Italien durchgeführt werden. Es ist allgemein bekannt, dass Italien über eine ausreichende medizinische Infrastruktur verfügt. Die Mitgliedstaaten müssen den Antragstellern die erforderliche medizinische Versorgung, die zumindest die Notversorgung und die unbedingt erforderliche Behandlung von Krankheiten und schweren psychischen Störungen umfasst, zugänglich machen (Art. 19 Abs. 1 Aufnahmerichtlinie), und haben den Antragstellern mit besonderen Bedürfnissen die erforderliche medizinische oder sonstige Hilfe (einschliesslich erforderlichenfalls einer geeigneten psychologischen Betreuung) zu gewähren (Art. 19 Abs. 2 Aufnahmerichtlinie). Für einen Selbsteintritt der Schweiz nach Art. 17 Abs. 1 Dublin-III-VO besteht demnach keine Veranlassung.</w:t>
      </w:r>
    </w:p>
    <w:p>
      <w:r>
        <w:rPr>
          <w:b/>
        </w:rPr>
        <w:t>E. 6.1</w:t>
      </w:r>
    </w:p>
    <w:p>
      <w:r>
        <w:t>Die Vorinstanz ist somit zutreffend von der Zuständigkeit Italiens ausgegangen und in Anwendung von Art. 31a Abs. 1 Bst. b AsylG auf das Asylgesuch der Beschwerdeführerin zu Recht nicht eingetreten. Soweit sie vorliegend Asylgründe geltend gemacht hat, weshalb sie in ihrem Heimatstaat verfolgt wird, ist festzuhalten, dass die Schweiz hierfür nicht zuständig ist.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6.2</w:t>
      </w:r>
    </w:p>
    <w:p>
      <w:r>
        <w:t>Das gestellte Gesuch um Gewährung der unentgeltlichen Prozessführung ist abzuweisen, da die Begehren als aussichtlos zu bezeichnen sind (vgl. Art. 65 Abs. 1 VwVG).</w:t>
      </w:r>
    </w:p>
    <w:p>
      <w:r>
        <w:rPr>
          <w:b/>
        </w:rPr>
        <w:t>E. 7</w:t>
      </w:r>
    </w:p>
    <w:p>
      <w:r>
        <w:t>Bei diesem Ausgang des Verfahrens sind die Kosten von Fr. 750.- (Art. 1-3 des Reglements vom 21. Februar 2008 über die Kosten und Entschädigungen vor dem Bundesverwaltungsgericht [VGKE, SR 173.320.2]) der Beschwerdeführerin aufzuerlegen (Art. 63 Abs. 1 VwVG).</w:t>
      </w:r>
    </w:p>
    <w:p>
      <w:r>
        <w:rPr>
          <w:b/>
        </w:rPr>
        <w:t>E. 8</w:t>
      </w:r>
    </w:p>
    <w:p>
      <w:r>
        <w:t>Der am 13. Juli 2018 angeordnete, vorsorgliche Vollzugsstopp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