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E-3970/2016 vom 30. Juni 2016</w:t>
      </w:r>
    </w:p>
    <w:p>
      <w:r>
        <w:t>Bundesverwaltungsgericht, 2016-06-30, DE</w:t>
      </w:r>
    </w:p>
    <w:p>
      <w:r>
        <w:rPr>
          <w:b/>
        </w:rPr>
        <w:t xml:space="preserve">Quelle: </w:t>
      </w:r>
      <w:r>
        <w:t>https://mcp.opencaselaw.ch/entscheid/bvger_E-3970_2016</w:t>
      </w:r>
    </w:p>
    <w:p>
      <w:r>
        <w:t>FR: TAF E-3970/2016 du 30 juin 2016</w:t>
      </w:r>
    </w:p>
    <w:p>
      <w:r>
        <w:t>IT: TAF E-3970/2016 del 30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2.4</w:t>
      </w:r>
    </w:p>
    <w:p>
      <w:r>
        <w:t>Soweit der Beschwerdeführer die Ansetzung einer Nachfrist zur Ergänzung der Beschwerdebegründung verlangt, hat er weder die hierfür gemäss Art. 53 VwVG erforderliche besondere Schwierigkeit der vorliegenden Beschwerdesache aufgezeigt, noch auch nur ansatzweise dargetan, womit er seine Beschwerde ergänzen möchte, weshalb der entsprechende Antrag abzuweisen ist.</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oder bei fingierter Zustimmung, auf das Asylgesuch grundsätzlich nicht ein.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3.3.1</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anhand des CS-Vis die Zuständigkeit Frankreichs erkannt und die französischen Behörden - gestützt auf Art. 12 Abs. 4 Dublin-III-VO - um Übernahme ersucht. Entgegen der Behauptung in der Rechtsmitteleingabe haben die französischen Behörden das Gesuch - wenn auch nachträglich - gutgeheissen, wobei die Zuständigkeit des ersuchten Staates gemäss Art. 22 Abs. 7 Dublin-III-VO ohne weiteres angenommen wird, wenn er diese nicht innerhalb der Frist ausdrücklich verneint. Frankreich ist somit verpflichtet, die Person aufzunehmen und angemessene Vorkehrungen zu treffen.</w:t>
      </w:r>
    </w:p>
    <w:p>
      <w:r>
        <w:rPr>
          <w:b/>
        </w:rPr>
        <w:t>E. 3.3.2</w:t>
      </w:r>
    </w:p>
    <w:p>
      <w:r>
        <w:t>Die Vorinstanz hat ferner zurecht festgestellt, dass der Beschwerdeführer aus der Anwesenheit seines Bruders in der Schweiz nichts zu seinen Gunsten ableiten kann, da Geschwister nicht als Familienangehörige im Sinne von Art. 2 Bst. g Dublin-III-VO gelten. Art. 9 der genannten Verordnung ist damit - entgegen den Beschwerdevorbringen - nicht anwendbar. Auch erfüllen die volljährigen Brüder die Anforderungen an eine Kernfamilie nicht, weshalb der Beschwerdeführer mit seinen weiteren Ausführungen zur Einheit der Familie gemäss Art. 44 AsylG oder Art. 8 EMRK nicht durchdringt, zumal er auch kein besonderes Abhängigkeitsverhältnis zu seinem Bruder aufzeigen kann (vgl. dazu auch Urteil des BVGer E-1318/2015 vom 17. März 2015, E. 5). Im vorinstanzlichen Verfahren gab er zudem zu Protokoll, physisch und psychisch gesund zu sein (Akten der Vorinstanz A5/11, S. 8), derweil die nun auf Beschwerdeebene behaupteten gesundheitlichen Beschwerden gänzlich unbelegt bleiben. Es kann deshalb mit der Vorinstanz einig gegangen werden, dass er auch aus Art. 16 Abs. 1 Dublin-III-VO nichts zu seinen Gunsten ableiten kann. Zu all diesen Vorbringen kann im Übrigen vollumfänglich auf die Erwägungen des Bundesverwaltungsgerichts in der Zwischenverfügung vom 23. Juni 2016 (im Verfahren C-3785/2016) verwiesen werden. Sollte der Beschwerdeführer schliesslich tatsächlich gesundheitliche Probleme mit seinen Händen haben, steht ihm in Frankreich zweifellos eine adäquate medizinische Versorgung zur Verfügung.</w:t>
      </w:r>
    </w:p>
    <w:p>
      <w:r>
        <w:rPr>
          <w:b/>
        </w:rPr>
        <w:t>E. 3.4</w:t>
      </w:r>
    </w:p>
    <w:p>
      <w:r>
        <w:t>Die Vorinstanz ist somit zutreffend von der Zuständigkeit Frankreichs ausgegangen und in Anwendung von Art. 31a Abs. 1 Bst. b AsylG auf das Asylgesuch des Beschwerdeführers zu Recht nicht eingetreten. Für einen Selbsteintritt der Schweiz besteht kein Anlass.</w:t>
      </w:r>
    </w:p>
    <w:p>
      <w:r>
        <w:rPr>
          <w:b/>
        </w:rPr>
        <w:t>E. 4</w:t>
      </w:r>
    </w:p>
    <w:p>
      <w:r>
        <w:t>Aus diesen Erwägungen ergibt sich, dass die angefochtene Verfügung Bundesrecht nicht verletzt und auch sonst nicht zu beanstanden ist (Art. 106 Abs. 1 AsylG und Art. 49 VwVG). Die Beschwerde ist abzuweisen. Der Antrag auf Erteilung der aufschiebenden Wirkung ist mit dem vorliegenden Beschwerdeurteil gegenstandslos geworden.</w:t>
      </w:r>
    </w:p>
    <w:p>
      <w:r>
        <w:rPr>
          <w:b/>
        </w:rPr>
        <w:t>E. 5.1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