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E-3958/2022 vom 29. August 2022</w:t>
      </w:r>
    </w:p>
    <w:p>
      <w:r>
        <w:t>Bundesverwaltungsgericht, 2022-08-29, DE</w:t>
      </w:r>
    </w:p>
    <w:p>
      <w:r>
        <w:rPr>
          <w:b/>
        </w:rPr>
        <w:t xml:space="preserve">Quelle: </w:t>
      </w:r>
      <w:r>
        <w:t>https://mcp.opencaselaw.ch/entscheid/bvger_E-3958_2022_d20220829</w:t>
      </w:r>
    </w:p>
    <w:p>
      <w:r>
        <w:t>FR: TAF E-3958/2022 du 29 août 2022</w:t>
      </w:r>
    </w:p>
    <w:p>
      <w:r>
        <w:t>IT: TAF E-3958/2022 del 29 agosto 2022</w:t>
      </w:r>
    </w:p>
    <w:p>
      <w:pPr>
        <w:pStyle w:val="Heading2"/>
      </w:pPr>
      <w:r>
        <w:t>Regeste</w:t>
      </w:r>
    </w:p>
    <w:p>
      <w:r>
        <w:t>Datenschutz | Datenänderung im Zentralen Migrationsinformationssystem (ZEMIS); Verfügung des SEM vom 29. August 2022</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w:t>
      </w:r>
    </w:p>
    <w:p>
      <w:r>
        <w:t>E-3958/2022 Seite 5 unter Vorbehalt von Erwägung 1.2 einzutreten (Art. 50 Abs. 1 und Art. 52 Abs. 1 VwVG).</w:t>
      </w:r>
    </w:p>
    <w:p>
      <w:r>
        <w:rPr>
          <w:b/>
        </w:rPr>
        <w:t>E. 1.2</w:t>
      </w:r>
    </w:p>
    <w:p>
      <w:r>
        <w:t>Das Bundesverwaltungsgericht hat bezüglich der Anträge in der Be- schwerdeschrift vom 6. September 2022 zwei Beschwerdeverfahren eröff- net (E-3882/2022 und E-3958/2022). Die Beschwerde gegen den Nichtein- tretensentscheid wurde mit Urteil E-3882/2022 vom 14. September 2022 abgewiesen. Insbesondere wurde festgestellt, dass die Vorinstanz zu Recht von der Volljährigkeit des Beschwerdeführers im Zeitpunkt seiner Gesuchseinreichung ausgegangen ist. Vorliegender Prozessgegenstand beschränkt sich auf das Rechtsbegehren, die Dispositivziffer 2 der ange- fochtenen Verfügung sei aufzuheben und das Geburtsdatum im ZEMIS sei auf den (…) abzuändern sowie auf seinen Antrag, im Sinne einer super- provisorischen Massnahme sei festzustellen, dass der ZEMIS-Anpassung die aufschiebende Wirkung nicht entzogen werde (vgl. E. 3).</w:t>
      </w:r>
    </w:p>
    <w:p>
      <w:r>
        <w:rPr>
          <w:b/>
        </w:rPr>
        <w:t>E. 2.1</w:t>
      </w:r>
    </w:p>
    <w:p>
      <w:r>
        <w:t>Das Bundesverwaltungsgericht entscheidet hinsichtlich der ZEMIS-Be- 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In Anwendung von Art. 37 VGG in Verbindung mit Art. 57 Abs. 1 VwVG wurde auf die Durchführung eines Schriftenwechsels verzichtet.</w:t>
      </w:r>
    </w:p>
    <w:p>
      <w:r>
        <w:rPr>
          <w:b/>
        </w:rPr>
        <w:t>E. 3</w:t>
      </w:r>
    </w:p>
    <w:p>
      <w:r>
        <w:t>In der Beschwerde wird bemängelt, die Vorinstanz habe bereits am 18. Mai 2022 eine Altersanpassung vorgenommen und es unterlassen, eine an- fechtbare Verfügung zu erlassen sowie die vorgenommene Anpassung zu begründen und zu beweisen. Indem sie das Geburtsdatum des Beschwer- deführers im ZEMIS bereits abgeändert habe, ohne die Beschwerdefrist von 30 Tagen gemäss Art. 50 Abs. 1 VwVG abzuwarten, habe sie einer Be- schwerde implizit die aufschiebende Wirkung entzogen. Er ersucht somit um Wiederherstellung der aufschiebenden Wirkung nach vorgängiger An- ordnung superprovisorischer Massnahmen sowohl hinsichtlich des stritti- gen ZEMIS-Eintrages als auch der ihm entstandenen Rechtsnachteile (Wegfall der prioritären Behandlung des Asylgesuchs, der höheren Anfor- derungen an Unterbringung, Betreuung und Wegweisung oder gar Verzicht darauf im Rahmen des Dublin-Verfahrens).</w:t>
      </w:r>
    </w:p>
    <w:p>
      <w:r>
        <w:t>E-3958/2022 Seite 6 Die Vorinstanz gewährte dem Beschwerdeführer mit Schreiben vom 10. Mai 2022 das rechtliche Gehör zum Resultat des Altersgutachtens so- wie der beabsichtigten Änderung seines Geburtsdatums im ZEMIS und be- gründete diese ausführlich. In der E-Mail vom 18. Mai 2022 teilte sie ihm die Altersanpassung im ZEMIS inklusive Bestreitungsvermerk mit und stellte ihm in Aussicht, darüber im Rahmen des Verfahrens mit dem Ent- scheid zu verfügen. Sie stellte sich somit auf den Standpunkt, sie müsse momentan keine anfechtbare Verfügung erlassen. Dem Beschwerdeführer hätte es freigestanden, dies mittels einer Rechtsverzögerungs- respektive Rechtsverweigerungsbeschwerde gerichtlich prüfen zu lassen. In den Ak- ten sind jedoch keine diesbezüglichen Anträge oder Ausführungen ersicht- lich. Da der Beschwerde im vorliegend zu beurteilenden Umfang grund- sätzlich von Gesetzes wegen aufschiebende Wirkung zukommt (Art. 55 Abs. 1 VwVG) und die Vorinstanz die aufschiebende Wirkung auch nicht gestützt auf Art. 55 Abs. 2 VwVG entzogen hat, bedarf es vonseiten des Gerichts keiner Anordnungen im beantragten Sinne. Dass die Vorinstanz einer allfälligen Beschwerde gegen Ziffer 2 des Dispositivs seiner Verfü- gung die aufschiebende Wirkung nicht entzogen hat, ergibt sich aus der Verfügung selbst unter Beachtung der zum Dispositiv gehörenden Rechts- mittelbelehrung (vgl. dort den Verweis auf die Bestimmung von Art. 108 Abs. 2 AsylG). Für vorsorgliche Massnahmen im Sinne von Art. 56 VwVG gibt es ebenfalls keinen Anlass, zumal beim Beschwerdeführer im Urteil E- 3882/2022 vom 15. September 2022 zweifelsfrei die Volljährigkeit festge- stellt wurde, er somit getrennt von Minderjährigen unterzubringen ist. Zu- dem kann er sich auch nicht auf die in einem anderen Verfahren in einer Zwischenverfügung erlassenen superprovisorischen Massnahmen stützen (vgl. Zwischenverfügung des Bundesverwaltungsgerichts A-3149/2022 vom 5. August 2022); der Verfügung kommt keine bindende Wirkung zu, da sie kein Urteil darstellt. Das entsprechende Begehren ist abzuweisen.</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E-3958/2022 Seite 7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w:t>
      </w:r>
    </w:p>
    <w:p>
      <w:r>
        <w:t>E-3958/2022 Seite 8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 zicht darauf im Rahmen des Dublin-Verfahrens) nachvollziehbar.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t>E-3958/2022 Seite 9</w:t>
      </w:r>
    </w:p>
    <w:p>
      <w:r>
        <w:rPr>
          <w:b/>
        </w:rPr>
        <w:t>E. 5</w:t>
      </w:r>
    </w:p>
    <w:p>
      <w:r>
        <w:t>Vom Beschwerdeführer wird im Sinne eines Eventualbegehrens die Rück- weisung der Sache an die Vorinstanz zwecks einer umfassenden Abklä- rung seines Alters beantragt. Zudem macht er geltend, die Vorinstanz habe den Impfausweis nicht gewürdigt. Aufgrund der Aktenlage ist von einem offenkundig genügend erstellten Sachverhalt bezüglich Altersangaben auszugehen (vgl. nachfolgend). Die Vorinstanz hat den Impfausweis entgegengenommen und sich bei der Ent- scheidfindung damit auseinandergesetzt. Eine Gehörsverletzung infolge Nichtbeachtung entscheidwesentlicher Beweismittel liegt somit nicht vor. Vielmehr handelt es sich dabei um eine Frage der materiellen Beurteilung. Die Vorinstanz hat den rechtserheblichen Sachverhalt somit richtig und vollständig festgestellt und das rechtliche Gehör nicht verletzt.</w:t>
      </w:r>
    </w:p>
    <w:p>
      <w:r>
        <w:rPr>
          <w:b/>
        </w:rPr>
        <w:t>E. 5.1</w:t>
      </w:r>
    </w:p>
    <w:p>
      <w:r>
        <w:t>Die Vorinstanz stützt den bestehenden ZEMIS-Eintrag auf das Alters- gutachten vom 26. April 2022, wonach beim Beschwerdeführer von einem Mindestalter von 21.6 Jahren ausgegangen werde. Somit sei das von ihm angegebene Alter von (…) Jahren und (…) Monat nicht plausibel. Seine Angaben zu seinem Geburtsdatum seien nicht nachvollziehbar. Bei dem durch seine Eltern vorgenommenen Vergleich seines Alters mit dem Alter von anderen Jungen könne es sich lediglich um eine Schätzung handeln. Seine Vorbringen hinsichtlich der Tazkira würden nicht überzeugen.</w:t>
      </w:r>
    </w:p>
    <w:p>
      <w:r>
        <w:rPr>
          <w:b/>
        </w:rPr>
        <w:t>E. 5.2</w:t>
      </w:r>
    </w:p>
    <w:p>
      <w:r>
        <w:t>Der Beschwerdeführer bringt vor, seine Aussagen zu seinem Alter seien nicht widersprüchlich. Er sei sich seines Alters sicher. Seine biogra- fischen Angaben seien insbesondere hinsichtlich seiner Schulbildung kon- sistent. Der Geburtsmonat und der Geburtstag sei seinen Eltern bekannt. Das Geburtsjahr hätten sie anhand seines Alters eruieren können. Die Al- tersangabe im Impfausweis stimme mit seinen Angaben, er sei minderjäh- rig, überein. Das Altersgutachten sei nicht aussagekräftig, da gemäss die- sem vor Abschluss des Wurzelwachstums kein Mindestalter angegeben werden könne. Zudem seien gemäss dem Methodendokument populati- onsspezifische Referenzstudien für die Beurteilung der Weisheitszahnent- wicklung zu verwenden, für eine männliche Population aus Afghanistan be- stehe eine solche jedoch nicht. Das Altersgutachten beziehe sich lediglich auf Befunde zum Mindestalter der Hand sowie der Schlüsselbein-Brust- bein- Gelenke. Zum Mindestalter betreffend Handskelett und zahnärztliche Untersuchung würden keine vollständigen Ergebnisse vorliegen.</w:t>
      </w:r>
    </w:p>
    <w:p>
      <w:r>
        <w:t>E-3958/2022 Seite 10</w:t>
      </w:r>
    </w:p>
    <w:p>
      <w:r>
        <w:rPr>
          <w:b/>
        </w:rPr>
        <w:t>E. 5.3</w:t>
      </w:r>
    </w:p>
    <w:p>
      <w:r>
        <w:t>Der Rechtsvertreter des Beschwerdeführers verweist auf den Grund- satz «in dubio pro minore». Vorliegend bildet das konkrete Geburtsdatum des Beschwerdeführers den Streitgegenstand. Dieses ist nach daten- 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5.4</w:t>
      </w:r>
    </w:p>
    <w:p>
      <w:r>
        <w:t>Weder die Vorinstanz noch der Beschwerdeführer können das von ihnen behauptete Geburtsdatum beweisen. Es ist daher nachfolgend zu prüfen, welches Geburtsdatum – der vom Beschwerdeführer behauptete (…) oder der von der Vorinstanz behauptete (…) – wahrscheinlicher ist.</w:t>
      </w:r>
    </w:p>
    <w:p>
      <w:r>
        <w:rPr>
          <w:b/>
        </w:rPr>
        <w:t>E. 5.5</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 anders als die Handknochenanalyse und die ärztliche Untersu- chung – zum Beweis geeignet. Das Bundesverwaltungsgericht hat in die- ser Hinsicht Grundsätze zur Gewichtung der Resultate der Untersuchun- gen definiert (eingehend hierzu BVGE 2018 VI/3 E. 4.2.1 f.; vgl. Urteile des BVGer A-904/2021 vom 17. Januar 2022 E. 5.4.2 und A-4775/2020 vom 31. März 2021 E. 6.2.4). Darüber hinaus sind die üblichen verfahrensrecht- lichen Regeln der Beweiswürdigung zu beachten, wobei es umso weniger auf eine Gesamtwürdigung der Beweise ankommt, je stärker die medizini- schen Abklärungen ein Indiz für das Vorliegen des streitigen Alters darstel- len (vgl. BVGE 2018 VI/3 E. 4.2.2 f., 2019 I/6 E. 6.1 ff.). Im Altersgutachten vom 26. April 2022 zur Untersuchung vom 22. April 2022 wurde vorab vermerkt, dass die körperliche Untersuchung aus medi- zinischer Sicht keine Hinweise auf das Vorliegen einer entwicklungsbeein- flussenden Erkrankung beziehungsweise einer manifesten Entwicklungs- störung ergeben habe. Die zahnärztliche Untersuchung habe einen voll- ständigen Abschluss des Wurzelwachstums ergeben, welcher ab einem Al- ter von 16 Jahren zur Beobachtung komme. Dies könne nur als Mittelwert und nicht als Minimum gewertet werden. Nach Untersuchung der Weis- heitszähne könne kein vollständiger Abschluss des Wurzelwachstums fest- gestellt werden, weshalb kein Mindestalter angegeben werden könne. Eine Referenzstudie für eine männliche Population aus Afghanistan liege nicht vor. Die radiologische Altersschätzung des linken Handskeletts ergab ein</w:t>
      </w:r>
    </w:p>
    <w:p>
      <w:r>
        <w:t>E-3958/2022 Seite 11 Knochenalter eines Jungen im Alter von 19 Jahren, die radiologische Al- tersschätzung der Brustbein-Schlüsselbein-Gelenke ergab ein Knochenal- ter Stadium 4; das minimale Alter, bei welchem das vorliegende Stadium noch gesehen werden konnte, lag bei 21.6 Jahren. Zusammenfassend ergab sich gemäss des Befunds am Schlüsselbein ein Mindestalter von 21.6 Jahren; das vom Beschwerdeführer angegebene Lebensalter von (…) sei mit diesem Befund nicht zu vereinbaren. Mit an Sicherheit gren- zender Wahrscheinlichkeit habe er das 18. Lebensjahr vollendet. Gestützt auf BVGE 2018 VI/3 ist es als ein starkes Indiz für die Volljährig- keit zu werten, wenn das Mindestalter bei der Schlüsselbein- respektive Skelettaltersanalyse oder der zahnärztlichen Untersuchung über 18 Jahren liegt und sich die anhand der beiden Analysen ergebenden Altersspannen überlappen (vgl. ebenda E.4.2.2). Gemäss dem Gutachten des IRM liegt das Mindestalter bei der Schlüsselbeinanalyse über 18 Jahren (21.6 Jahre), bei der zahnärztlichen Untersuchung unter 18 Jahren. Da bei der Mineralisation der Weisheitszähne kein Mindestalter angegeben werden konnte und die zahnärztliche Untersuchung nur einen Mittelwert von 16 Jahren nannte, überlappen sich die Altersspannen zwar insofern tatsäch- lich nicht, als dass im Rahmen dieser Untersuchung keine konkrete Alters- spanne angegeben wird. Die Ergebnisse stehen demgegenüber auch nicht im Widerspruch zueinander. Gemäss dem vom Beschwerdeführer einge- reichten Methodendokument ist bei der Frage nach der Volljährigkeit ge- rade die mediale Schlüsselbeinepiphyse das massgebende Element. Diese erfüllt als einzige die Voraussetzung für eine Alterseinschätzung "mit an Sicherheit grenzender Wahrscheinlichkeit", wohingegen die Weisheits- zähne als alleiniges Kriterium für die forensische Altersschätzung nicht ge- eignet sind. Dazu ist mindestens das Ossifikationsstadium 3c erforderlich (vgl. ebenda Kapitel 4, 8.1 f., 9.2). Im vorliegenden Gutachten wurde beim Beschwerdeführer bei der medialen Schlüsselbeinepiphyse bereits das Stadium 4 festgestellt, bei welchem das minimale Alter bei 21.6 Jahren liegt, also deutlich über 18 Jahren. Angesichts des Fazits des Gutachtens und insbesondere des Befunds am Schlüsselbein vor dem Hintergrund des Methodendokuments ist kein starkes Indiz erkennbar, welches für das vom Beschwerdeführer vorgebrachte Alter spricht. Zudem ergeben sich gemäss dem Methodendokument keine Anhaltspunkte für gravierende interethni- sche Differenzen im zeitlichen Verlauf der Skelettierung; im Gegenteil käme es bei anderen Populationen eher zu einer Altersunterschätzung, weshalb sich die Anwendung der einschlägigen Referenzstudien auf an- dere Populationen für die Betroffenen nicht nachteilig auswirke (vgl. ebenda Kapitel 6).</w:t>
      </w:r>
    </w:p>
    <w:p>
      <w:r>
        <w:t>E-3958/2022 Seite 12 Schliesslich ist festzustellen, dass die Schilderungen des Beschwerdefüh- rers zwar konsistent wirken, aber weder speziell substanziiert noch von Realkennzeichen geprägt sind. Seine Angaben, er habe sein Alter von sei- nem Vater erfahren, seine Eltern hätten sein Alter mit anderen Knaben im gleichen Alter verglichen, überzeugen nicht. Auch lassen sich seinen Aus- sagen oder den Akten keine Hinweise dafür entnehmen, dass er sich be- reits gegenüber den bulgarischen oder österreichischen Behörden als min- derjährige Person ausgegeben hätte. In Anbetracht des Umstandes, dass er zudem keine rechtsgenüglichen Identitätspapiere vorgelegt hat – ge- mäss Art. 1a Bst. c der Asylverordnung 1 vom 11. August 1999 (AsylV 1, SR 142.311) können Identitätspapiere nur Reisepapiere (-pässe) und Iden- titätskarten sein, nicht aber zu anderen Zwecken ausgestellte Dokumente (vgl. BVGE 2007/7 E. 4-6), wie etwa vorliegend die Kopie eines auf seinen Namen lautenden Impfausweises, welchem der Beschwerdeführer ge- mäss eigenen Aussagen selber die Fälschungssicherheit abspricht – und das umfangreiche Gutachten zur Altersanalyse ihm ein Alter von 21.6 Jah- ren oder mehr bescheinigte, bestehen vorliegend deutliche Indizien, wel- che gegen seine Altersangabe sprechen. Eine Tazkira dürfte kaum zu einer anderen Einschätzung führen, zumal einer Tazkira in der Regel ein gerin- ger Beweiswert beizumessen ist und diese lediglich ein Element in der Ge- samtwürdigung darzustellen vermag. Auch wenn das Geburtsdatum in sei- nem Herkunftsland keine grosse Bedeutung hat, überzeugt darüber hinaus seine Aussage, er sei mit der Tazkira aus Afghanistan ausgereist, nicht ge- genüber seiner Aussage, er habe sein Geburtsdatum nie auf einem amtli- chen Dokument gesehen. Zusammenfassend ist weder die Richtigkeit des im ZEMIS eingetragenen noch diejenige des vom Beschwerdeführer angegebenen Geburtsdatums bewiesen. Aufgrund der vorstehenden Erwägungen ist jedoch festzustel- len, dass das vom Beschwerdeführer – gestützt auf die vagen Angaben seiner Eltern – geltend gemachte Geburtsdatum eine zu grosse Abwei- chung der Ergebnisse des Altersgutachtens darstellt. Nach den von der Rechtsprechung entwickelten Beweisregeln, kommt dem Resultat des Al- tersgutachtens ein erhöhter Beweiswert zu. In Gesamtwürdigung aller Be- weismittel und Indizien (Angaben des Beschwerdeführers, medizinische Altersschätzung, Foto des Impfausweises) ist jedoch das im ZEMIS einge- tragene Geburtsdatum ([…]) wahrscheinlicher als das beantragte Geburts- datum ([…]). Es entspricht sodann der üblichen Praxis der Vorinstanz, im ZEMIS den 1. Januar als Geburtstag einzutragen, wenn das Geburtsdatum nicht exakt</w:t>
      </w:r>
    </w:p>
    <w:p>
      <w:r>
        <w:t>E-3958/2022 Seite 13 bestimmt werden kann. Dass es sich dabei um ein fiktives Datum handelt, ist insofern nicht zu beanstanden (vgl. Urteil des BGer 1C_709/2017 vom 12. Februar 2019 E. 2.5 und Urteil des BVGer A-1162/2022 vom 8. Sep- tember 2022 E. 5.4.2). Der bestehende ZEMIS-Eintrag mit dem Geburts- datum (…) (mit Bestreitungsvermerk) ist unverändert zu belassen.</w:t>
      </w:r>
    </w:p>
    <w:p>
      <w:r>
        <w:rPr>
          <w:b/>
        </w:rPr>
        <w:t>E. 6</w:t>
      </w:r>
    </w:p>
    <w:p>
      <w:r>
        <w:t>Aus diesen Erwägungen ergibt sich, dass die angefochtene Verfügung Bundesrecht nicht verletzt und auch sonst nicht zu beanstanden ist. Die Beschwerde ist abzuweisen. Das Gesuch, der Beschwerde die aufschie- bende Wirkung nicht zu entziehen, ist gegenstandslos geworden.</w:t>
      </w:r>
    </w:p>
    <w:p>
      <w:r>
        <w:rPr>
          <w:b/>
        </w:rPr>
        <w:t>E. 7.1</w:t>
      </w:r>
    </w:p>
    <w:p>
      <w:r>
        <w:t>Die gestellten Rechtsbegehren erweisen sich als von vornherein aus- sichtslos, weshalb das Gesuch um Gewährung der unentgeltlichen Pro- zessführung ungeachtet einer allfälligen prozessualen Bedürftigkeit abzu- weisen ist (Art. 65 Abs. 1 und 2 VwVG).</w:t>
      </w:r>
    </w:p>
    <w:p>
      <w:r>
        <w:rPr>
          <w:b/>
        </w:rPr>
        <w:t>E. 7.2</w:t>
      </w:r>
    </w:p>
    <w:p>
      <w:r>
        <w:t>Bei diesem Ausgang des Verfahrens sind die Kosten von Fr. 500.– (Art. 1-3 des Reglements vom 21. Februar 2008 über die Kosten und Ent- schädigungen vor dem Bundesverwaltungsgericht [VGKE], SR 173.320.2) dem Beschwerdeführer aufzuerlegen (Art. 63 Abs. 1 VwVG). Das Gesuch um Verzicht auf die Erhebung eines Kostenvorschusses ist mit vorliegen- dem Urteil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