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E-3957/2020 vom 22. September 2020</w:t>
      </w:r>
    </w:p>
    <w:p>
      <w:r>
        <w:t>Bundesverwaltungsgericht, 2020-09-22, DE</w:t>
      </w:r>
    </w:p>
    <w:p>
      <w:r>
        <w:rPr>
          <w:b/>
        </w:rPr>
        <w:t xml:space="preserve">Quelle: </w:t>
      </w:r>
      <w:r>
        <w:t>https://mcp.opencaselaw.ch/entscheid/bvger_E-3957_2020</w:t>
      </w:r>
    </w:p>
    <w:p>
      <w:r>
        <w:t>FR: TAF E-3957/2020 du 22 septembre 2020</w:t>
      </w:r>
    </w:p>
    <w:p>
      <w:r>
        <w:t>IT: TAF E-3957/2020 del 22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 nachdem der Kostenvorschuss innert Frist geleistet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Das SEM führte zur Begründung des ablehnenden Entscheids im Wesentlichen aus, dass die Schilderungen des Beschwerdeführers grösstenteils unsubstantiiert ausgefallen seien. So habe er zu seinem Arbeitgeber und dessen angeblichen Einfluss auf die Polizei- und Justizbehörden nur sehr oberflächliche und allgemeingültige Angaben machen können. Er habe beispielsweise behauptet, der Cafébesitzer gehöre zur Mafia, ohne jedoch nähere Angaben zu dessen Organisation machen zu können. Auch habe er nicht erklären können, wie er erfahren habe, dass der Cafébesitzer und seine Angestellten mit den Behörden zusammenarbeiten und Richter sowie Staatsanwälte bestechen würden. Auch die Schilderungen des Drohanrufs seines Arbeitgebers sowie der gegen ihn und seine Familie gerichteten Bedrohung seien relativ knapp und oberflächlich ausgefallen. Insbesondere habe er lediglich allgemein ausgeführt, dass Personen vor der Wohnung der Familie und der Schule seines Bruders gewartet hätten und in Läden, Kaffeehäusern und bei Nachbarn nach ihm gefragt hätten. Er habe jedoch nicht darlegen können, woher er gewusst haben soll, dass die Personen mit seinem früheren Arbeitgeber in Verbindung stehen würden. Des Weiteren sei es nicht plausibel, dass sein Arbeitgeber, der davon ausgegangen sein soll, er, der Beschwerdeführer, habe ihn bei der Polizei denunziert, von ihm verlangt habe, die gesamte Schuld auf sich zu nehmen. Ebenso wenig sei es nachvollziehbar, dass er sich nie an die Polizei gewendet habe oder auf andere Weise, beispielsweise mit Hilfe seines Onkels oder eines Anwalts, versucht habe, die Situation zu klären. Seine Erklärung, seine Fingerabdrücke seien festgestellt worden und es gebe Aufnahmen, die ihn im Depot zeigen würden und die Personen, die ihn belasten würden, seien mächtig, sei nicht überzeugend, zumal sich seinen Schilderungen zufolge mehrere Personen im Depot aufgehalten hätten und somit auch deren Fingerabdrücke beziehungsweise Filmaufnahmen von ihnen vorhanden sein müssten. Die objektive Beweislage spräche nach seiner Darstellung gegen die Behauptung der anderen Angeklagten, er alleine sei für die Drogen verantwortlich. Die vom Beschwerdeführer eingereichten Beweismittel seien ausserdem nicht geeignet, seine Vorbringen zu stützen. So deute die vorgelegte Übersetzung der Anklageschrift vom 12. Juni 2017 lediglich darauf hin, dass er in der Türkei wegen eines Betäubungsmitteldelikts angeklagt worden sei. Auch würden sich in der Anklageschrift keine Hinweise darauf finden, dass die anderen Angeklagten mit den Polizei- und Justizbehörden zusammenarbeiten und alleine ihm die Schuld geben würden. Sein Vorbringen, die Behörden würden ihm Unterstützung der PKK und Finanzierung des Terrors vorwerfen, werde durch die Anklageschrift ebenso wenig gestützt. Die weiteren am 4. März 2020 eingereichten Verfahrensunterlagen hätten mangels Erläuterungen seinerseits nicht eingeordnet werden können. Da er der Aufforderung der Vor-instanz, sich zu den zahlreichen Dokumenten zu äussern und wesentliche Unterlagen übersetzen zu lassen, nicht nachgekommen sei, würden diese bei der Beurteilung nicht weiter berücksichtigt. Insgesamt habe er sein Vorbringen nicht glaubhaft machen können. Im Übrigen sei festzustellen, dass die blosse Furcht vor einer Strafverfolgung im Heimatland an sich keinen Asylgrund darstelle. Nur ausnahmsweise könne die Durchführung eines Strafverfahrens wegen eines gemeinrechtlichen Delikts eine Verfolgung im asylrechtlichen Sinne darstellen, nämlich, wenn einer Person eine Tat untergeschoben worden sei, um sie wegen ihrer äusseren oder inneren Merkmale zu verfolgen oder um aus einem solchen Motiv die Verfolgung eines tatsächlich begangenen Delikts zu erschweren. Eine solche Erschwerung der Lage (Politmalus) sei insbesondere dann anzunehmen, wenn deswegen eine unverhältnismässig hohe Strafe ausgefällt würde, wenn das Strafverfahren rechtsstaatlichen Ansprüchen klarerweise nicht genügen würde oder wenn der asylsuchenden Person in Form der Strafe oder im Rahmen der Strafverbüssung eine Verletzung fundamentaler Menschenrechte - insbesondere Folter - drohen würde. Bei der dem Beschwerdeführer zur Last gelegten Straftat handle es sich um ein Betäubungsmitteldelikt gemäss Art. 188/3 des türkischen Strafgesetzbuches. Eine strafrechtliche Verfolgung sei mithin legitim. Er habe ausserdem nicht glaubhaft machen können, dass er wegen seiner kurdischen Ethnie verfolgt werde und im Verdacht stehe, die PKK zu unterstützen und den Terror zu finanzieren. Entsprechend sei sein Vorbringen, er werde unbegründet strafrechtlich verfolgt, bereits mangels eines Verfolgungsmotivs im Sinne von Art. 3 AsylG nicht asylrelevant.</w:t>
      </w:r>
    </w:p>
    <w:p>
      <w:r>
        <w:rPr>
          <w:b/>
        </w:rPr>
        <w:t>E. 5.2</w:t>
      </w:r>
    </w:p>
    <w:p>
      <w:r>
        <w:t>Dem entgegnet der Beschwerdeführer in der Beschwerde in Bezug auf die vom SEM festgestellte Unsubstantiiertheit, dass es ihm als aussenstehenden Student nicht zuzumuten sei, die Drogenorganisation zu kennen. Die vom Arbeitgeber ausgesprochenen Drohungen seien zudem nicht offensichtlich gewesen, aber psychisch sehr stark und unerträglich. Des Weiteren könne er nicht mit Sicherheit wissen, dass die Personen, die ihn verfolgt hätten, mit seinem früheren Arbeitgeber in Verbindung stehen. Er sei jedoch nie politisch tätig gewesen, habe keine Feinde und könne nur vermuten, dass sein früherer Arbeitgeber dahinterstecke. Es sei ihm auch erzählt worden, dass diese Personen gefährlich für ihn seien. Zudem hätten die inhaftierten Personen ausgesagt, dass er der Besitzer der Drogen sei. Er sei ein Opfer der Drogenschmuggler geworden und habe die Schuld für sie übernehmen müssen, da er nicht zum engen Personenkreis des Cafébesitzers beziehungsweise der Drogenhändler gehöre, er sich auf der Flucht befinde und kurdischer Abstammung sei. Auch vermute er, dass sein früherer Arbeitgeber in engem Kontakt mit den Behörden stehe, da die Inhaftierten aus der Haft wieder entlassen worden seien. Er habe sich auch nicht an die Polizei wenden können, da er gleich verhaftet worden wäre. In der Türkei würden Untersuchungen mehrere Jahre dauern, wobei die Untersuchungshaft einer Strafe faktisch gleichkomme. Ihm würden die Straftaten durch Anwendung von Folter zugeschoben werden. Es fehle in der Türkei aufgrund der weitverbreiteten Korruption an einem fairen Verfahren und die Gerichte und die Polizei würden oftmals mit den Drogenhändlern zusammenarbeiten. Die Anklageschrift komme ausserdem einer blossen Behauptung des Staatsanwaltes gleich. Die kurdenfeindliche Politik der Türkei sei nicht offiziell und offensichtlich, aber der türkische Staat versuche mit sämtlichen Mitteln die Kurden und die PKK zu schwächen. Bei jeder Drogenrazzia würden zunächst die Kurden beschuldigt. Es gebe in der Türkei zahlreiche solche Fälle, bei denen Kurden willkürlich ohne rechtliche Grundlage angeklagt würden und im Gefängnis seien. Was die Asylrelevanz betreffe, sei festzuhalten, dass die Türkei kein Rechtsstaat mehr sei und überall Willkür herrsche. Er habe keine Straftat begangen, sei unschuldig und werde trotzdem in der Türkei gesucht. Er befürchte, verhaftet und gefoltert zu werden und mehrere Jahre im Gefängnis verbringen zu müssen. Er habe zunächst versucht, sich in der Türkei zu verstecken. Nach zwei Jahren habe er aber dem psychischen Druck nicht mehr standhalten können.</w:t>
      </w:r>
    </w:p>
    <w:p>
      <w:r>
        <w:rPr>
          <w:b/>
        </w:rPr>
        <w:t>E. 6.1</w:t>
      </w:r>
    </w:p>
    <w:p>
      <w:r>
        <w:t>Das Gericht teilt nach Prüfung der Akten die von der Vorinstanz geäusserten Zweifel an der Glaubhaftigkeit der Ausführungen des Beschwerdeführers zu seinen Asylgründen. Zur Vermeidung von Wiederholungen kann vorab auf die zutreffenden Ausführungen der Vorinstanz verwiesen werden (angefochtene Verfügung S. 3 ff.; s.o. 5.1).</w:t>
      </w:r>
    </w:p>
    <w:p>
      <w:r>
        <w:rPr>
          <w:b/>
        </w:rPr>
        <w:t>E. 6.2</w:t>
      </w:r>
    </w:p>
    <w:p>
      <w:r>
        <w:t>So ist der Vorinstanz dahingehend zuzustimmen, dass die Vorbringen des Beschwerdeführers über weite Teile oberflächlich und unsubstantiiert bleiben und bei den Geschehnissen nicht der Eindruck entsteht, dass er diese tatsächlich so erlebt hat. Seine angebrachten Vermutungen, beispielsweise die Zusammenarbeit seines Arbeitgebers mit der Polizei und den Justizbehörden betreffend, vermag er nicht zu begründen. Vielmehr weicht er, auch auf Beschwerdeebene, auf die allgemeine Lagebeschreibung in Bezug auf die kurdische Frage und die im Heimatstaat vorherrschende Korruption aus. Seinen Ausführungen fehlt es an Realkennzeichen und persönlich geprägten Einzelheiten und sie sind aus den von der Vorinstanz ausgeführten Gründen auch nicht plausibel. Des Weiteren ergeben sich aus seinem Vorbringen Unstimmigkeiten und Widersprüche, so zum Beispiel hinsichtlich des Zeitpunkts der Drogenrazzia (vgl. act. A5/10 F7.01; A14/26 F36, F89) und Art und Umfang der konfiszierten Drogen (act. A5/10 F7.01; A14/26 F36).</w:t>
      </w:r>
    </w:p>
    <w:p>
      <w:r>
        <w:rPr>
          <w:b/>
        </w:rPr>
        <w:t>E. 6.3</w:t>
      </w:r>
    </w:p>
    <w:p>
      <w:r>
        <w:t>Auch der Anklageschrift ist im Übrigen nichts zu entnehmen, was die Vorbringen des Beschwerdeführers stützen würde. Die ihm zur Last gelegte Tat lautet «Handel und Beschaffung von Betäubungsmitteln und stimulierenden Substanzen» (vgl. act. A15 Beweismittel 8). Die Strafverfolgung eines gemeinen Delikts ist jedoch eine legitime Massnahme jeden Staates und vorliegend ergeben sich unter Verweis auf die vorangegangenen Erwägungen keine Anhaltspunkte dafür, dass die Strafverfolgung einen relevanten Politmalus aufweisen könnte. Zu erwähnen ist an dieser Stelle, dass der Beschwerdeführer gemäss Akten auch in der Schweiz im Zusammenhang mit dem Besitz, Konsum und Inverkehrbringen von Betäubungsmitteln straffällig geworden ist (vgl. act. A11/6), so dass an seiner Behauptung, er werde in seinem Heimatstaat zu Unrecht strafrechtlich verfolgt, zumindest gewisse Zweifel bestehen.</w:t>
      </w:r>
    </w:p>
    <w:p>
      <w:r>
        <w:rPr>
          <w:b/>
        </w:rPr>
        <w:t>E. 6.4</w:t>
      </w:r>
    </w:p>
    <w:p>
      <w:r>
        <w:t>Die Ausführungen in der Beschwerdeeingabe und die auf vorinstanzlicher Ebene eingereichten Beweismittel sind zudem nicht geeignet, die Zweifel an der Glaubhaftigkeit der Vorbringen auszuräumen. Insbesondere verlieren sich die Ausführungen in der Beschwerde in allgemeinen Aussagen zur Situation in der Türkei, die keinen direkten Zusammenhang zum Beschwerdeführer aufweisen.</w:t>
      </w:r>
    </w:p>
    <w:p>
      <w:r>
        <w:rPr>
          <w:b/>
        </w:rPr>
        <w:t>E. 6.5</w:t>
      </w:r>
    </w:p>
    <w:p>
      <w:r>
        <w:t>Zusammenfassend ist festzustellen, dass die geltend gemachten Asylgründe nicht geeignet sind, eine asyl- respektive flüchtlingsrechtlich relevante Verfolgung respektive eine entsprechende Verfolgungsfurcht zu begründen. Die Vorinstanz hat deshalb zur Recht die Flüchtlingseigenschaft verneint und das Asylgesuch des Beschwerdeführers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Zur Zumutbarkeit des Vollzugs der Wegweisung führte die Vorinstanz in der angefochtenen Verfügung aus, auch nach der Niederschlagung des Militärputsches vom Juli 2016 herrsche in der Türkei keine landesweite Situation allgemeiner Gewalt, welche den Vollzug der Wegweisung als unzumutbar erscheinen lassen würde. Der blosse Umstand, dass der Beschwerdeführer kurdischer Ethnie sei, genüge nicht, um eine ernsthafte Gefahr einer menschenrechtswidrigen Behandlung zu begründen (vgl. auch Urteil des Bundesverwaltungsgerichtes D-1392/2018 vom 2. August 2018, E. 7.2). Der Beschwerdeführer stamme aus Istanbul, wo noch zahlreiche seiner Verwandten leben würden. Er sei jung, gesund und verfüge über einen Gymnasialabschluss, habe mehrere Jahre studiert und habe zudem Berufserfahrung in verschiedenen Branchen gesammelt. Es bestünden demnach gute Voraussetzungen für eine Rückkehr in die Türkei, wo sich der Beschwerdeführer sowohl wirtschaftlich als auch sozial wieder integrieren könne.</w:t>
      </w:r>
    </w:p>
    <w:p>
      <w:r>
        <w:rPr>
          <w:b/>
        </w:rPr>
        <w:t>E. 8.4.2</w:t>
      </w:r>
    </w:p>
    <w:p>
      <w:r>
        <w:t>Das Gericht schliesst sich vollumfänglich den zutreffenden Erwägungen der Vorinstanz zur Zumutbarkeit des Wegweisungsvollzuges an, zumal der Beschwerdeführer diesen in der Rechtsmitteleingabe nichts entgegensetzt. Der Vollzug der Wegweisung erweist sich demnach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